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0" w:rsidRPr="00482370" w:rsidRDefault="00BF3A7F" w:rsidP="000B6743">
      <w:pPr>
        <w:rPr>
          <w:rFonts w:asciiTheme="minorHAnsi" w:hAnsiTheme="minorHAnsi"/>
          <w:b/>
        </w:rPr>
      </w:pPr>
      <w:r>
        <w:rPr>
          <w:rFonts w:asciiTheme="minorHAnsi" w:hAnsiTheme="minorHAnsi"/>
          <w:b/>
        </w:rPr>
        <w:t>Youth Transitional Living Services</w:t>
      </w:r>
      <w:r w:rsidR="00482370" w:rsidRPr="00482370">
        <w:rPr>
          <w:rFonts w:asciiTheme="minorHAnsi" w:hAnsiTheme="minorHAnsi"/>
          <w:b/>
        </w:rPr>
        <w:t xml:space="preserve"> (</w:t>
      </w:r>
      <w:r>
        <w:rPr>
          <w:rFonts w:asciiTheme="minorHAnsi" w:hAnsiTheme="minorHAnsi"/>
          <w:b/>
        </w:rPr>
        <w:t>YTLS</w:t>
      </w:r>
      <w:bookmarkStart w:id="0" w:name="_GoBack"/>
      <w:bookmarkEnd w:id="0"/>
      <w:r w:rsidR="00482370" w:rsidRPr="00482370">
        <w:rPr>
          <w:rFonts w:asciiTheme="minorHAnsi" w:hAnsiTheme="minorHAnsi"/>
          <w:b/>
        </w:rPr>
        <w:t>) Target Population</w:t>
      </w:r>
    </w:p>
    <w:p w:rsidR="000B6743" w:rsidRPr="000B6743" w:rsidRDefault="000B6743" w:rsidP="000B6743">
      <w:pPr>
        <w:rPr>
          <w:rFonts w:asciiTheme="minorHAnsi" w:hAnsiTheme="minorHAnsi"/>
        </w:rPr>
      </w:pPr>
      <w:r w:rsidRPr="000B6743">
        <w:rPr>
          <w:rFonts w:asciiTheme="minorHAnsi" w:hAnsiTheme="minorHAnsi"/>
        </w:rPr>
        <w:t>Currently, the target population for the CET cannot be definitively established. The possible population of people who may benefit from CET services can be estimated in a variety of ways. 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 More specific estimates can be derived from individuals contacting the NM Crisis Access Line (NMCAL)individuals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 Currently data from all these sources either is not available or does not exist to provide an estimate.</w:t>
      </w:r>
      <w:r>
        <w:rPr>
          <w:rFonts w:asciiTheme="minorHAnsi" w:hAnsiTheme="minorHAnsi"/>
        </w:rPr>
        <w:t xml:space="preserve"> </w:t>
      </w:r>
      <w:r w:rsidRPr="000B6743">
        <w:rPr>
          <w:rFonts w:asciiTheme="minorHAnsi" w:hAnsiTheme="minorHAnsi"/>
        </w:rPr>
        <w:t>NMCAL handles approximately 1,400 calls per month. CET could respond to “routine calls” and likely handle “urgent calls.”</w:t>
      </w:r>
      <w:r w:rsidRPr="000B6743">
        <w:rPr>
          <w:rFonts w:asciiTheme="minorHAnsi" w:hAnsiTheme="minorHAnsi"/>
          <w:vertAlign w:val="superscript"/>
        </w:rPr>
        <w:footnoteReference w:id="1"/>
      </w:r>
      <w:r w:rsidRPr="000B6743">
        <w:rPr>
          <w:rFonts w:asciiTheme="minorHAnsi" w:hAnsiTheme="minorHAnsi"/>
        </w:rPr>
        <w:t xml:space="preserve"> We estimate this to be an average of 1,358 calls per month for individuals 18 years of age and older. People from both call levels may possibly seek a rapid response to an event from the CET. </w:t>
      </w:r>
    </w:p>
    <w:p w:rsidR="000B6743" w:rsidRPr="000B6743" w:rsidRDefault="000B6743" w:rsidP="000B6743">
      <w:pPr>
        <w:rPr>
          <w:rFonts w:asciiTheme="minorHAnsi" w:hAnsiTheme="minorHAnsi"/>
        </w:rPr>
      </w:pPr>
      <w:r w:rsidRPr="000B6743">
        <w:rPr>
          <w:rFonts w:asciiTheme="minorHAnsi" w:hAnsiTheme="minorHAnsi"/>
        </w:rPr>
        <w:t>Preliminary data from the UNM Psychiatric Center Psychiatric Emergency Services (PES) suggests that a segment of individuals who present to the PES or Psychiatric Urgent Care Center (PUCC) may be eligible for CET services.  This primarily includes individuals who have a lower acuity level upon arrival.  In discussions with PES staff individuals who present with a Level I or Level II acuity level and who are not eligible for PES services may be eligible.  Table 1 provides an estimate for Level I and Level II clients.</w:t>
      </w:r>
    </w:p>
    <w:p w:rsidR="000B6743" w:rsidRPr="000B6743" w:rsidRDefault="000B6743" w:rsidP="000B6743">
      <w:pPr>
        <w:spacing w:after="0"/>
        <w:rPr>
          <w:rFonts w:asciiTheme="minorHAnsi" w:hAnsiTheme="minorHAnsi"/>
        </w:rPr>
      </w:pPr>
      <w:r w:rsidRPr="000B6743">
        <w:rPr>
          <w:rFonts w:asciiTheme="minorHAnsi" w:hAnsiTheme="minorHAnsi"/>
        </w:rPr>
        <w:t>Table 1 – PES Acuity Level</w:t>
      </w:r>
    </w:p>
    <w:tbl>
      <w:tblPr>
        <w:tblStyle w:val="TableGrid"/>
        <w:tblW w:w="0" w:type="auto"/>
        <w:tblLook w:val="04A0" w:firstRow="1" w:lastRow="0" w:firstColumn="1" w:lastColumn="0" w:noHBand="0" w:noVBand="1"/>
      </w:tblPr>
      <w:tblGrid>
        <w:gridCol w:w="1435"/>
        <w:gridCol w:w="1170"/>
        <w:gridCol w:w="1350"/>
        <w:gridCol w:w="1260"/>
      </w:tblGrid>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Acuity Level</w:t>
            </w:r>
          </w:p>
        </w:tc>
        <w:tc>
          <w:tcPr>
            <w:tcW w:w="1170" w:type="dxa"/>
          </w:tcPr>
          <w:p w:rsidR="000B6743" w:rsidRPr="000B6743" w:rsidRDefault="000B6743" w:rsidP="00D914F2">
            <w:pPr>
              <w:rPr>
                <w:rFonts w:asciiTheme="minorHAnsi" w:hAnsiTheme="minorHAnsi"/>
                <w:sz w:val="22"/>
              </w:rPr>
            </w:pPr>
            <w:r w:rsidRPr="000B6743">
              <w:rPr>
                <w:rFonts w:asciiTheme="minorHAnsi" w:hAnsiTheme="minorHAnsi"/>
                <w:sz w:val="22"/>
              </w:rPr>
              <w:t>2015</w:t>
            </w:r>
          </w:p>
        </w:tc>
        <w:tc>
          <w:tcPr>
            <w:tcW w:w="1350" w:type="dxa"/>
          </w:tcPr>
          <w:p w:rsidR="000B6743" w:rsidRPr="000B6743" w:rsidRDefault="000B6743" w:rsidP="00D914F2">
            <w:pPr>
              <w:rPr>
                <w:rFonts w:asciiTheme="minorHAnsi" w:hAnsiTheme="minorHAnsi"/>
                <w:sz w:val="22"/>
              </w:rPr>
            </w:pPr>
            <w:r w:rsidRPr="000B6743">
              <w:rPr>
                <w:rFonts w:asciiTheme="minorHAnsi" w:hAnsiTheme="minorHAnsi"/>
                <w:sz w:val="22"/>
              </w:rPr>
              <w:t>2016 (thru October)</w:t>
            </w:r>
          </w:p>
        </w:tc>
        <w:tc>
          <w:tcPr>
            <w:tcW w:w="1260" w:type="dxa"/>
          </w:tcPr>
          <w:p w:rsidR="000B6743" w:rsidRPr="000B6743" w:rsidRDefault="000B6743" w:rsidP="00D914F2">
            <w:pPr>
              <w:rPr>
                <w:rFonts w:asciiTheme="minorHAnsi" w:hAnsiTheme="minorHAnsi"/>
                <w:sz w:val="22"/>
              </w:rPr>
            </w:pPr>
            <w:r w:rsidRPr="000B6743">
              <w:rPr>
                <w:rFonts w:asciiTheme="minorHAnsi" w:hAnsiTheme="minorHAnsi"/>
                <w:sz w:val="22"/>
              </w:rPr>
              <w:t>Total</w:t>
            </w:r>
          </w:p>
        </w:tc>
      </w:tr>
      <w:tr w:rsidR="000B6743" w:rsidRPr="000B6743" w:rsidTr="00D914F2">
        <w:trPr>
          <w:trHeight w:val="287"/>
        </w:trPr>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Level I</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20.4</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15.4</w:t>
            </w:r>
          </w:p>
        </w:tc>
        <w:tc>
          <w:tcPr>
            <w:tcW w:w="126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18.1</w:t>
            </w:r>
          </w:p>
        </w:tc>
      </w:tr>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Level II</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55.3</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33.4</w:t>
            </w:r>
          </w:p>
        </w:tc>
        <w:tc>
          <w:tcPr>
            <w:tcW w:w="126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30.1</w:t>
            </w:r>
          </w:p>
        </w:tc>
      </w:tr>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Total</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75.7</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48.8</w:t>
            </w:r>
          </w:p>
        </w:tc>
        <w:tc>
          <w:tcPr>
            <w:tcW w:w="1260" w:type="dxa"/>
          </w:tcPr>
          <w:p w:rsidR="000B6743" w:rsidRPr="000B6743" w:rsidRDefault="000B6743" w:rsidP="00D914F2">
            <w:pPr>
              <w:jc w:val="right"/>
              <w:rPr>
                <w:rFonts w:asciiTheme="minorHAnsi" w:hAnsiTheme="minorHAnsi"/>
                <w:sz w:val="22"/>
              </w:rPr>
            </w:pPr>
          </w:p>
        </w:tc>
      </w:tr>
    </w:tbl>
    <w:p w:rsidR="000B6743" w:rsidRDefault="000B6743" w:rsidP="000B6743">
      <w:pPr>
        <w:spacing w:after="0"/>
        <w:rPr>
          <w:rFonts w:asciiTheme="minorHAnsi" w:hAnsiTheme="minorHAnsi"/>
        </w:rPr>
      </w:pPr>
    </w:p>
    <w:p w:rsidR="004E1733" w:rsidRPr="000B6743" w:rsidRDefault="000B6743" w:rsidP="000B6743">
      <w:pPr>
        <w:spacing w:after="0"/>
        <w:rPr>
          <w:rFonts w:asciiTheme="minorHAnsi" w:hAnsiTheme="minorHAnsi"/>
        </w:rPr>
      </w:pPr>
      <w:r w:rsidRPr="000B6743">
        <w:rPr>
          <w:rFonts w:asciiTheme="minorHAnsi" w:hAnsiTheme="minorHAnsi"/>
        </w:rPr>
        <w:t xml:space="preserve">Some preliminary data is also available using APD CIT related data.  These data provided by APD showed that between January 2016 and October 2016 of 2,064 CIT related incidents reported by APD field officers 1,606 (51.6%) were transported to area hospitals that includes UNM’s PES. It is not known what portion of these calls would be eligible for CET services.  APD also provided COAST data.  Between January 2016 and October 2016 COAST assisted 300 unique mental health consumers and COAST staff contacted 1,049 individuals that were not the result of a call for service.  COAST staff also contacted 348 individuals who were originally a call for service.  According to APD, COAST’s primary objective is to safely resolve the behavioral health crisis causing police interaction by referring the individual with behavioral health disorder or in behavioral health crisis, to professional mental health services.  </w:t>
      </w:r>
    </w:p>
    <w:sectPr w:rsidR="004E1733" w:rsidRPr="000B6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FD" w:rsidRDefault="00F815FD" w:rsidP="000B6743">
      <w:pPr>
        <w:spacing w:after="0" w:line="240" w:lineRule="auto"/>
      </w:pPr>
      <w:r>
        <w:separator/>
      </w:r>
    </w:p>
  </w:endnote>
  <w:endnote w:type="continuationSeparator" w:id="0">
    <w:p w:rsidR="00F815FD" w:rsidRDefault="00F815FD" w:rsidP="000B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FD" w:rsidRDefault="00F815FD" w:rsidP="000B6743">
      <w:pPr>
        <w:spacing w:after="0" w:line="240" w:lineRule="auto"/>
      </w:pPr>
      <w:r>
        <w:separator/>
      </w:r>
    </w:p>
  </w:footnote>
  <w:footnote w:type="continuationSeparator" w:id="0">
    <w:p w:rsidR="00F815FD" w:rsidRDefault="00F815FD" w:rsidP="000B6743">
      <w:pPr>
        <w:spacing w:after="0" w:line="240" w:lineRule="auto"/>
      </w:pPr>
      <w:r>
        <w:continuationSeparator/>
      </w:r>
    </w:p>
  </w:footnote>
  <w:footnote w:id="1">
    <w:p w:rsidR="000B6743" w:rsidRPr="00031856" w:rsidRDefault="000B6743" w:rsidP="000B6743">
      <w:pPr>
        <w:pStyle w:val="FootnoteText"/>
        <w:rPr>
          <w:sz w:val="21"/>
        </w:rPr>
      </w:pPr>
      <w:r>
        <w:rPr>
          <w:rStyle w:val="FootnoteReference"/>
        </w:rPr>
        <w:footnoteRef/>
      </w:r>
      <w:r>
        <w:t xml:space="preserve"> </w:t>
      </w:r>
      <w:r w:rsidRPr="00031856">
        <w:rPr>
          <w:bCs/>
          <w:sz w:val="21"/>
          <w:u w:val="single"/>
        </w:rPr>
        <w:t>Routine Calls</w:t>
      </w:r>
      <w:r w:rsidRPr="00031856">
        <w:rPr>
          <w:sz w:val="21"/>
        </w:rPr>
        <w:t xml:space="preserve">: Call is resolved with de-escalation of the caller. Caller is offered a referral to local resources. Caller initiates next steps. </w:t>
      </w:r>
      <w:r w:rsidRPr="00031856">
        <w:rPr>
          <w:bCs/>
          <w:sz w:val="21"/>
          <w:u w:val="single"/>
        </w:rPr>
        <w:t>Urgent Calls</w:t>
      </w:r>
      <w:r w:rsidRPr="00031856">
        <w:rPr>
          <w:bCs/>
          <w:sz w:val="21"/>
        </w:rPr>
        <w:t>:</w:t>
      </w:r>
      <w:r w:rsidRPr="00031856">
        <w:rPr>
          <w:b/>
          <w:bCs/>
          <w:sz w:val="21"/>
        </w:rPr>
        <w:t xml:space="preserve"> </w:t>
      </w:r>
      <w:r w:rsidRPr="00031856">
        <w:rPr>
          <w:sz w:val="21"/>
        </w:rPr>
        <w:t xml:space="preserve">Call requires de-escalation. A determination is made, with consultation from clinical supervisor, that an outbound call will be scheduled to follow up with the caller. </w:t>
      </w:r>
    </w:p>
    <w:p w:rsidR="000B6743" w:rsidRDefault="000B6743" w:rsidP="000B674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3"/>
    <w:rsid w:val="00070C60"/>
    <w:rsid w:val="000B6743"/>
    <w:rsid w:val="00482370"/>
    <w:rsid w:val="004B7F4D"/>
    <w:rsid w:val="008D7EF8"/>
    <w:rsid w:val="00B644C4"/>
    <w:rsid w:val="00BC018C"/>
    <w:rsid w:val="00BF3A7F"/>
    <w:rsid w:val="00C33FD9"/>
    <w:rsid w:val="00D67CB6"/>
    <w:rsid w:val="00E44FEF"/>
    <w:rsid w:val="00F15676"/>
    <w:rsid w:val="00F8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B685"/>
  <w15:chartTrackingRefBased/>
  <w15:docId w15:val="{7E183DA8-E995-4786-9C40-4729D91F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74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6743"/>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0B6743"/>
    <w:rPr>
      <w:rFonts w:ascii="Times New Roman" w:hAnsi="Times New Roman"/>
      <w:sz w:val="24"/>
      <w:szCs w:val="24"/>
    </w:rPr>
  </w:style>
  <w:style w:type="character" w:styleId="FootnoteReference">
    <w:name w:val="footnote reference"/>
    <w:basedOn w:val="DefaultParagraphFont"/>
    <w:uiPriority w:val="99"/>
    <w:unhideWhenUsed/>
    <w:rsid w:val="000B6743"/>
    <w:rPr>
      <w:vertAlign w:val="superscript"/>
    </w:rPr>
  </w:style>
  <w:style w:type="paragraph" w:styleId="BalloonText">
    <w:name w:val="Balloon Text"/>
    <w:basedOn w:val="Normal"/>
    <w:link w:val="BalloonTextChar"/>
    <w:uiPriority w:val="99"/>
    <w:semiHidden/>
    <w:unhideWhenUsed/>
    <w:rsid w:val="0048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PGuerin</dc:creator>
  <cp:keywords/>
  <dc:description/>
  <cp:lastModifiedBy>PGuerin</cp:lastModifiedBy>
  <cp:revision>4</cp:revision>
  <cp:lastPrinted>2016-12-19T20:14:00Z</cp:lastPrinted>
  <dcterms:created xsi:type="dcterms:W3CDTF">2016-12-21T03:44:00Z</dcterms:created>
  <dcterms:modified xsi:type="dcterms:W3CDTF">2016-12-21T03:50:00Z</dcterms:modified>
</cp:coreProperties>
</file>