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C263F" w14:textId="718B4D0F" w:rsidR="00176499" w:rsidRPr="00176499" w:rsidRDefault="00176499" w:rsidP="00176499">
      <w:pPr>
        <w:spacing w:after="0" w:line="240" w:lineRule="auto"/>
        <w:rPr>
          <w:rFonts w:ascii="Times New Roman" w:hAnsi="Times New Roman" w:cs="Times New Roman"/>
          <w:i/>
          <w:sz w:val="24"/>
          <w:szCs w:val="24"/>
        </w:rPr>
      </w:pPr>
      <w:r w:rsidRPr="00176499">
        <w:rPr>
          <w:rFonts w:ascii="Times New Roman" w:hAnsi="Times New Roman" w:cs="Times New Roman"/>
          <w:sz w:val="24"/>
          <w:szCs w:val="24"/>
        </w:rPr>
        <w:t xml:space="preserve">SUBJECT: </w:t>
      </w:r>
      <w:r w:rsidRPr="00176499">
        <w:rPr>
          <w:rFonts w:ascii="Times New Roman" w:hAnsi="Times New Roman" w:cs="Times New Roman"/>
          <w:sz w:val="24"/>
          <w:szCs w:val="24"/>
        </w:rPr>
        <w:tab/>
      </w:r>
      <w:r w:rsidR="00686C0B">
        <w:rPr>
          <w:rFonts w:ascii="Times New Roman" w:hAnsi="Times New Roman" w:cs="Times New Roman"/>
          <w:i/>
          <w:sz w:val="24"/>
          <w:szCs w:val="24"/>
        </w:rPr>
        <w:t>Community Engagement Teams</w:t>
      </w:r>
    </w:p>
    <w:p w14:paraId="1C4418BA" w14:textId="3511C06B" w:rsidR="00176499" w:rsidRPr="00176499" w:rsidRDefault="00176499" w:rsidP="00176499">
      <w:pPr>
        <w:spacing w:after="0" w:line="240" w:lineRule="auto"/>
        <w:rPr>
          <w:rFonts w:ascii="Times New Roman" w:hAnsi="Times New Roman" w:cs="Times New Roman"/>
          <w:sz w:val="24"/>
          <w:szCs w:val="24"/>
        </w:rPr>
      </w:pPr>
      <w:r w:rsidRPr="00176499">
        <w:rPr>
          <w:rFonts w:ascii="Times New Roman" w:hAnsi="Times New Roman" w:cs="Times New Roman"/>
          <w:sz w:val="24"/>
          <w:szCs w:val="24"/>
        </w:rPr>
        <w:t>DATE:</w:t>
      </w:r>
      <w:r w:rsidRPr="00176499">
        <w:rPr>
          <w:rFonts w:ascii="Times New Roman" w:hAnsi="Times New Roman" w:cs="Times New Roman"/>
          <w:sz w:val="24"/>
          <w:szCs w:val="24"/>
        </w:rPr>
        <w:tab/>
      </w:r>
      <w:r w:rsidRPr="00176499">
        <w:rPr>
          <w:rFonts w:ascii="Times New Roman" w:hAnsi="Times New Roman" w:cs="Times New Roman"/>
          <w:sz w:val="24"/>
          <w:szCs w:val="24"/>
        </w:rPr>
        <w:tab/>
      </w:r>
      <w:r w:rsidR="008D0E09">
        <w:rPr>
          <w:rFonts w:ascii="Times New Roman" w:hAnsi="Times New Roman" w:cs="Times New Roman"/>
          <w:i/>
          <w:sz w:val="24"/>
          <w:szCs w:val="24"/>
        </w:rPr>
        <w:t>December 15, 2016</w:t>
      </w:r>
    </w:p>
    <w:p w14:paraId="7B75693D" w14:textId="5059DE37" w:rsidR="00176499" w:rsidRPr="00686C0B" w:rsidRDefault="00176499" w:rsidP="00686C0B">
      <w:pPr>
        <w:spacing w:after="0" w:line="240" w:lineRule="auto"/>
        <w:ind w:left="1440" w:hanging="1440"/>
        <w:rPr>
          <w:rFonts w:ascii="Times New Roman" w:hAnsi="Times New Roman" w:cs="Times New Roman"/>
          <w:i/>
          <w:sz w:val="24"/>
          <w:szCs w:val="24"/>
        </w:rPr>
      </w:pPr>
      <w:r w:rsidRPr="00176499">
        <w:rPr>
          <w:rFonts w:ascii="Times New Roman" w:hAnsi="Times New Roman" w:cs="Times New Roman"/>
          <w:sz w:val="24"/>
          <w:szCs w:val="24"/>
        </w:rPr>
        <w:t>TO:</w:t>
      </w:r>
      <w:r w:rsidRPr="00176499">
        <w:rPr>
          <w:rFonts w:ascii="Times New Roman" w:hAnsi="Times New Roman" w:cs="Times New Roman"/>
          <w:sz w:val="24"/>
          <w:szCs w:val="24"/>
        </w:rPr>
        <w:tab/>
        <w:t xml:space="preserve">ABCGC: Subcommittee on </w:t>
      </w:r>
      <w:r w:rsidR="00686C0B" w:rsidRPr="00686C0B">
        <w:rPr>
          <w:rFonts w:ascii="Times New Roman" w:hAnsi="Times New Roman" w:cs="Times New Roman"/>
          <w:i/>
          <w:sz w:val="24"/>
          <w:szCs w:val="24"/>
        </w:rPr>
        <w:t>Subcommittee on Prevention, Intervention and Harm Reduction and Crisis</w:t>
      </w:r>
    </w:p>
    <w:p w14:paraId="625348E9" w14:textId="7E694D5D" w:rsidR="00176499" w:rsidRPr="00176499" w:rsidRDefault="00176499" w:rsidP="0034121A">
      <w:pPr>
        <w:spacing w:after="0" w:line="240" w:lineRule="auto"/>
        <w:ind w:left="1440" w:hanging="1440"/>
        <w:outlineLvl w:val="0"/>
        <w:rPr>
          <w:rFonts w:ascii="Times New Roman" w:hAnsi="Times New Roman" w:cs="Times New Roman"/>
          <w:sz w:val="24"/>
          <w:szCs w:val="24"/>
        </w:rPr>
      </w:pPr>
      <w:r w:rsidRPr="00176499">
        <w:rPr>
          <w:rFonts w:ascii="Times New Roman" w:hAnsi="Times New Roman" w:cs="Times New Roman"/>
          <w:sz w:val="24"/>
          <w:szCs w:val="24"/>
        </w:rPr>
        <w:t>FROM:</w:t>
      </w:r>
      <w:r w:rsidRPr="00176499">
        <w:rPr>
          <w:rFonts w:ascii="Times New Roman" w:hAnsi="Times New Roman" w:cs="Times New Roman"/>
          <w:sz w:val="24"/>
          <w:szCs w:val="24"/>
        </w:rPr>
        <w:tab/>
      </w:r>
      <w:r w:rsidR="001549D5">
        <w:rPr>
          <w:rFonts w:ascii="Times New Roman" w:hAnsi="Times New Roman" w:cs="Times New Roman"/>
          <w:i/>
          <w:sz w:val="24"/>
          <w:szCs w:val="24"/>
        </w:rPr>
        <w:t>UNM-ISR Staff</w:t>
      </w:r>
    </w:p>
    <w:p w14:paraId="3021074F" w14:textId="77777777" w:rsidR="00176499" w:rsidRPr="00176499" w:rsidRDefault="00176499" w:rsidP="00176499">
      <w:pPr>
        <w:spacing w:after="0" w:line="240" w:lineRule="auto"/>
        <w:rPr>
          <w:rFonts w:ascii="Times New Roman" w:hAnsi="Times New Roman" w:cs="Times New Roman"/>
          <w:sz w:val="24"/>
          <w:szCs w:val="24"/>
        </w:rPr>
      </w:pPr>
    </w:p>
    <w:p w14:paraId="7E22346B" w14:textId="77777777" w:rsidR="00176499" w:rsidRPr="00176499" w:rsidRDefault="00176499" w:rsidP="00176499">
      <w:pPr>
        <w:spacing w:after="0" w:line="240" w:lineRule="auto"/>
        <w:rPr>
          <w:rFonts w:ascii="Times New Roman" w:hAnsi="Times New Roman" w:cs="Times New Roman"/>
          <w:sz w:val="24"/>
          <w:szCs w:val="24"/>
        </w:rPr>
      </w:pPr>
      <w:r w:rsidRPr="00176499">
        <w:rPr>
          <w:rFonts w:ascii="Times New Roman" w:hAnsi="Times New Roman" w:cs="Times New Roman"/>
          <w:sz w:val="24"/>
          <w:szCs w:val="24"/>
        </w:rPr>
        <w:tab/>
      </w:r>
      <w:r w:rsidRPr="0017649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D1E4C4" wp14:editId="0241E99B">
                <wp:simplePos x="0" y="0"/>
                <wp:positionH relativeFrom="column">
                  <wp:posOffset>-33100</wp:posOffset>
                </wp:positionH>
                <wp:positionV relativeFrom="paragraph">
                  <wp:posOffset>54650</wp:posOffset>
                </wp:positionV>
                <wp:extent cx="59277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2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89497F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4.3pt" to="464.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MtQEAALcDAAAOAAAAZHJzL2Uyb0RvYy54bWysU8GO0zAQvSPxD5bvNGmlZSFquoeu4IKg&#10;YtkP8DrjxsL2WGPTtH/P2G2zCBBCiIvjsd+bmfc8Wd8dvRMHoGQx9HK5aKWAoHGwYd/Lxy/vXr2R&#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" strokecolor="black [3200]" strokeweight=".5pt">
                <v:stroke joinstyle="miter"/>
              </v:line>
            </w:pict>
          </mc:Fallback>
        </mc:AlternateContent>
      </w:r>
    </w:p>
    <w:p w14:paraId="0141DB18" w14:textId="77777777" w:rsidR="00430624" w:rsidRDefault="00176499" w:rsidP="0034121A">
      <w:pPr>
        <w:outlineLvl w:val="0"/>
        <w:rPr>
          <w:rFonts w:ascii="Times New Roman" w:hAnsi="Times New Roman" w:cs="Times New Roman"/>
          <w:sz w:val="24"/>
          <w:szCs w:val="24"/>
        </w:rPr>
      </w:pPr>
      <w:r w:rsidRPr="00176499">
        <w:rPr>
          <w:rFonts w:ascii="Times New Roman" w:hAnsi="Times New Roman" w:cs="Times New Roman"/>
          <w:b/>
          <w:sz w:val="24"/>
          <w:szCs w:val="24"/>
        </w:rPr>
        <w:t>Prob</w:t>
      </w:r>
      <w:r>
        <w:rPr>
          <w:rFonts w:ascii="Times New Roman" w:hAnsi="Times New Roman" w:cs="Times New Roman"/>
          <w:b/>
          <w:sz w:val="24"/>
          <w:szCs w:val="24"/>
        </w:rPr>
        <w:t>lem Statement:</w:t>
      </w:r>
    </w:p>
    <w:p w14:paraId="3BF1AFFA" w14:textId="77777777" w:rsidR="00380B67" w:rsidRDefault="00380B67" w:rsidP="0034121A">
      <w:pPr>
        <w:outlineLvl w:val="0"/>
      </w:pPr>
      <w:r>
        <w:t>A method is needed to connect and serve people in need of sub-acute mental health services. People</w:t>
      </w:r>
      <w:r w:rsidRPr="006C46CE">
        <w:t xml:space="preserve"> need mental health services</w:t>
      </w:r>
      <w:r>
        <w:rPr>
          <w:iCs/>
        </w:rPr>
        <w:t xml:space="preserve"> because of an inability </w:t>
      </w:r>
      <w:r>
        <w:t>or reluctance to seek services themselves.</w:t>
      </w:r>
    </w:p>
    <w:p w14:paraId="5CCB51E7" w14:textId="41F8CC82" w:rsidR="00176499" w:rsidRDefault="00176499" w:rsidP="0034121A">
      <w:pPr>
        <w:outlineLvl w:val="0"/>
        <w:rPr>
          <w:rFonts w:ascii="Times New Roman" w:hAnsi="Times New Roman" w:cs="Times New Roman"/>
          <w:b/>
          <w:sz w:val="24"/>
          <w:szCs w:val="24"/>
        </w:rPr>
      </w:pPr>
      <w:r>
        <w:rPr>
          <w:rFonts w:ascii="Times New Roman" w:hAnsi="Times New Roman" w:cs="Times New Roman"/>
          <w:b/>
          <w:sz w:val="24"/>
          <w:szCs w:val="24"/>
        </w:rPr>
        <w:t>Executive Summary: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5930"/>
      </w:tblGrid>
      <w:tr w:rsidR="00454015" w:rsidRPr="00A80830" w14:paraId="556BCF94" w14:textId="77777777" w:rsidTr="0067122D">
        <w:tc>
          <w:tcPr>
            <w:tcW w:w="3425" w:type="dxa"/>
          </w:tcPr>
          <w:p w14:paraId="6F971D1B" w14:textId="361D9F0B" w:rsidR="00454015" w:rsidRPr="00454015" w:rsidRDefault="00454015" w:rsidP="00454015">
            <w:pPr>
              <w:rPr>
                <w:rFonts w:ascii="Times New Roman" w:hAnsi="Times New Roman" w:cs="Times New Roman"/>
                <w:i/>
                <w:sz w:val="24"/>
                <w:szCs w:val="24"/>
              </w:rPr>
            </w:pPr>
            <w:r w:rsidRPr="00454015">
              <w:rPr>
                <w:rFonts w:ascii="Times New Roman" w:hAnsi="Times New Roman" w:cs="Times New Roman"/>
                <w:sz w:val="24"/>
                <w:szCs w:val="24"/>
              </w:rPr>
              <w:t xml:space="preserve">Proposed Intervention:  </w:t>
            </w:r>
          </w:p>
        </w:tc>
        <w:tc>
          <w:tcPr>
            <w:tcW w:w="5930" w:type="dxa"/>
          </w:tcPr>
          <w:p w14:paraId="7E4919B2" w14:textId="4CF23EE5" w:rsidR="00454015" w:rsidRPr="00A80830" w:rsidRDefault="00454015" w:rsidP="00454015">
            <w:r>
              <w:t>Community Engagement Team</w:t>
            </w:r>
          </w:p>
        </w:tc>
      </w:tr>
      <w:tr w:rsidR="00454015" w:rsidRPr="00A80830" w14:paraId="495F09C8" w14:textId="77777777" w:rsidTr="0067122D">
        <w:tc>
          <w:tcPr>
            <w:tcW w:w="3425" w:type="dxa"/>
          </w:tcPr>
          <w:p w14:paraId="24073BCE" w14:textId="77777777"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t xml:space="preserve">Target Population: </w:t>
            </w:r>
          </w:p>
        </w:tc>
        <w:tc>
          <w:tcPr>
            <w:tcW w:w="5930" w:type="dxa"/>
          </w:tcPr>
          <w:p w14:paraId="37FB93BA" w14:textId="43090E78" w:rsidR="00454015" w:rsidRPr="00A80830" w:rsidRDefault="00454015" w:rsidP="00962946">
            <w:r w:rsidRPr="00454015">
              <w:t xml:space="preserve">Currently, the target population for the CET cannot be </w:t>
            </w:r>
            <w:r w:rsidR="00EB0397">
              <w:t xml:space="preserve">definitively </w:t>
            </w:r>
            <w:r w:rsidRPr="00454015">
              <w:t xml:space="preserve">established. The possible population of people who may benefit from CET services can be </w:t>
            </w:r>
            <w:r w:rsidR="00EB0397">
              <w:t xml:space="preserve">broadly </w:t>
            </w:r>
            <w:r w:rsidRPr="00454015">
              <w:t>estimated</w:t>
            </w:r>
            <w:r w:rsidR="00962946">
              <w:t xml:space="preserve"> </w:t>
            </w:r>
            <w:r w:rsidR="00B634D4">
              <w:t xml:space="preserve">using data provided by the </w:t>
            </w:r>
            <w:r w:rsidR="00B634D4" w:rsidRPr="00B634D4">
              <w:rPr>
                <w:bCs/>
              </w:rPr>
              <w:t>Substance Abuse and Mental Health Services Administration</w:t>
            </w:r>
            <w:r w:rsidR="00B634D4" w:rsidRPr="00B634D4">
              <w:t xml:space="preserve"> </w:t>
            </w:r>
            <w:r w:rsidR="00B634D4">
              <w:t xml:space="preserve">(SAMHSA). </w:t>
            </w:r>
            <w:r w:rsidR="00B634D4" w:rsidRPr="00B634D4">
              <w:t>SAMHSA estimates the prevalence of people in Bernalillo county with mental health problems in one year is approximately 136 people per 1,000 aged over 18 per one year (SAMHSA, 2014)</w:t>
            </w:r>
            <w:r w:rsidR="00B634D4">
              <w:t>.</w:t>
            </w:r>
          </w:p>
        </w:tc>
      </w:tr>
      <w:tr w:rsidR="00454015" w:rsidRPr="00A80830" w14:paraId="14238777" w14:textId="77777777" w:rsidTr="0067122D">
        <w:tc>
          <w:tcPr>
            <w:tcW w:w="3425" w:type="dxa"/>
          </w:tcPr>
          <w:p w14:paraId="5E0714DF" w14:textId="77777777"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t xml:space="preserve">Outcomes of Interest: </w:t>
            </w:r>
          </w:p>
        </w:tc>
        <w:tc>
          <w:tcPr>
            <w:tcW w:w="5930" w:type="dxa"/>
          </w:tcPr>
          <w:p w14:paraId="3D687963" w14:textId="648DF020" w:rsidR="00014681" w:rsidRDefault="00454015" w:rsidP="00014681">
            <w:r>
              <w:t>CET should address a series of questions:</w:t>
            </w:r>
          </w:p>
          <w:p w14:paraId="6C0594FE" w14:textId="77777777" w:rsidR="00014681" w:rsidRDefault="00014681" w:rsidP="00014681">
            <w:pPr>
              <w:pStyle w:val="ListParagraph"/>
              <w:numPr>
                <w:ilvl w:val="0"/>
                <w:numId w:val="14"/>
              </w:numPr>
            </w:pPr>
            <w:r>
              <w:t>Does sub-acute care lessen contacts with public acute mental health services?</w:t>
            </w:r>
          </w:p>
          <w:p w14:paraId="2D31BFCC" w14:textId="77777777" w:rsidR="00014681" w:rsidRDefault="00014681" w:rsidP="00014681">
            <w:pPr>
              <w:pStyle w:val="ListParagraph"/>
              <w:numPr>
                <w:ilvl w:val="0"/>
                <w:numId w:val="14"/>
              </w:numPr>
            </w:pPr>
            <w:r>
              <w:t>Does sub-acute care produce positive outcomes for people with a mental illness (Dench et al.,2008)?</w:t>
            </w:r>
          </w:p>
          <w:p w14:paraId="6897C1C2" w14:textId="4D43DD11" w:rsidR="00014681" w:rsidRDefault="00014681" w:rsidP="00014681">
            <w:pPr>
              <w:pStyle w:val="ListParagraph"/>
              <w:numPr>
                <w:ilvl w:val="0"/>
                <w:numId w:val="14"/>
              </w:numPr>
            </w:pPr>
            <w:r>
              <w:t>Possible outcomes may include: reduced contacts with emergency hospital and psychiatric services</w:t>
            </w:r>
            <w:r w:rsidR="00B634D4">
              <w:t>,</w:t>
            </w:r>
          </w:p>
          <w:p w14:paraId="20F128B6" w14:textId="77777777" w:rsidR="00014681" w:rsidRDefault="00014681" w:rsidP="00014681">
            <w:pPr>
              <w:pStyle w:val="ListParagraph"/>
              <w:numPr>
                <w:ilvl w:val="0"/>
                <w:numId w:val="14"/>
              </w:numPr>
            </w:pPr>
            <w:r>
              <w:t xml:space="preserve">Reduced contacts, use and </w:t>
            </w:r>
            <w:r w:rsidRPr="003E0B8A">
              <w:t>length of stay</w:t>
            </w:r>
            <w:r>
              <w:t xml:space="preserve"> at inpatient mental facilities and jail</w:t>
            </w:r>
            <w:r w:rsidRPr="003E0B8A">
              <w:t>,</w:t>
            </w:r>
          </w:p>
          <w:p w14:paraId="5EB3A3E9" w14:textId="77777777" w:rsidR="00014681" w:rsidRDefault="00014681" w:rsidP="00014681">
            <w:pPr>
              <w:pStyle w:val="ListParagraph"/>
              <w:numPr>
                <w:ilvl w:val="0"/>
                <w:numId w:val="14"/>
              </w:numPr>
            </w:pPr>
            <w:r>
              <w:t>Reduced client rates of participation in outpatient pre and post CET,</w:t>
            </w:r>
          </w:p>
          <w:p w14:paraId="2B95CEF2" w14:textId="77777777" w:rsidR="00056952" w:rsidRDefault="00014681" w:rsidP="00014681">
            <w:pPr>
              <w:pStyle w:val="ListParagraph"/>
              <w:numPr>
                <w:ilvl w:val="0"/>
                <w:numId w:val="14"/>
              </w:numPr>
            </w:pPr>
            <w:r>
              <w:t>Comparison of unexpected events after CET contact, e.g., self-harm, violence to others, homelessness, contact with the police,</w:t>
            </w:r>
          </w:p>
          <w:p w14:paraId="2CA3FAA9" w14:textId="1B7C4181" w:rsidR="00014681" w:rsidRDefault="00056952" w:rsidP="00014681">
            <w:pPr>
              <w:pStyle w:val="ListParagraph"/>
              <w:numPr>
                <w:ilvl w:val="0"/>
                <w:numId w:val="14"/>
              </w:numPr>
            </w:pPr>
            <w:r>
              <w:t>C</w:t>
            </w:r>
            <w:r w:rsidR="00014681">
              <w:t xml:space="preserve">hanges in the client’s quality of life (i.e., measures </w:t>
            </w:r>
            <w:r w:rsidR="00014681" w:rsidRPr="00F25F18">
              <w:t>through a</w:t>
            </w:r>
            <w:r w:rsidR="00014681">
              <w:t>n assessment of coping strategies</w:t>
            </w:r>
            <w:r w:rsidR="00014681" w:rsidRPr="00F25F18">
              <w:t xml:space="preserve">; reduction in utilization of emergency </w:t>
            </w:r>
            <w:r w:rsidR="00014681" w:rsidRPr="00F25F18">
              <w:lastRenderedPageBreak/>
              <w:t>departments and higher levels of care; keeping people safe from suicide or other violence, or contacts with law enforcement or the criminal justice system; susta</w:t>
            </w:r>
            <w:r w:rsidR="00014681">
              <w:t>ined participation in treatment),</w:t>
            </w:r>
          </w:p>
          <w:p w14:paraId="29D3F725" w14:textId="77777777" w:rsidR="00014681" w:rsidRDefault="00014681" w:rsidP="00014681">
            <w:pPr>
              <w:pStyle w:val="ListParagraph"/>
              <w:numPr>
                <w:ilvl w:val="0"/>
                <w:numId w:val="14"/>
              </w:numPr>
            </w:pPr>
            <w:r>
              <w:t xml:space="preserve"> Measures of </w:t>
            </w:r>
            <w:r w:rsidRPr="003E0B8A">
              <w:t>cost-</w:t>
            </w:r>
            <w:r>
              <w:t xml:space="preserve"> effectiveness,</w:t>
            </w:r>
          </w:p>
          <w:p w14:paraId="43BD0070" w14:textId="77777777" w:rsidR="00014681" w:rsidRDefault="00014681" w:rsidP="00014681">
            <w:pPr>
              <w:pStyle w:val="ListParagraph"/>
              <w:numPr>
                <w:ilvl w:val="0"/>
                <w:numId w:val="14"/>
              </w:numPr>
            </w:pPr>
            <w:r>
              <w:t>Satisfaction among clients,</w:t>
            </w:r>
            <w:r w:rsidRPr="003E0B8A">
              <w:t xml:space="preserve"> families</w:t>
            </w:r>
            <w:r>
              <w:t>, and program staff.</w:t>
            </w:r>
          </w:p>
          <w:p w14:paraId="32C03E51" w14:textId="02E6B333" w:rsidR="00454015" w:rsidRPr="00A3760F" w:rsidRDefault="00454015" w:rsidP="00014681">
            <w:pPr>
              <w:pStyle w:val="ListParagraph"/>
              <w:numPr>
                <w:ilvl w:val="0"/>
                <w:numId w:val="14"/>
              </w:numPr>
              <w:rPr>
                <w:rFonts w:ascii="Times New Roman" w:hAnsi="Times New Roman" w:cs="Times New Roman"/>
                <w:i/>
                <w:sz w:val="24"/>
                <w:szCs w:val="24"/>
              </w:rPr>
            </w:pPr>
          </w:p>
        </w:tc>
      </w:tr>
      <w:tr w:rsidR="00454015" w:rsidRPr="00A80830" w14:paraId="4217F6DE" w14:textId="77777777" w:rsidTr="0067122D">
        <w:tc>
          <w:tcPr>
            <w:tcW w:w="3425" w:type="dxa"/>
          </w:tcPr>
          <w:p w14:paraId="32109222" w14:textId="77777777"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lastRenderedPageBreak/>
              <w:t xml:space="preserve">Evidence Base: </w:t>
            </w:r>
          </w:p>
        </w:tc>
        <w:tc>
          <w:tcPr>
            <w:tcW w:w="5930" w:type="dxa"/>
          </w:tcPr>
          <w:p w14:paraId="1924B12B" w14:textId="4F8BBCE8" w:rsidR="00454015" w:rsidRDefault="004C20FD" w:rsidP="004F2A1A">
            <w:r>
              <w:t>Studies of Crisis Response/Home Treatment Teams (</w:t>
            </w:r>
            <w:r w:rsidRPr="00362B9E">
              <w:t>CRHT</w:t>
            </w:r>
            <w:r>
              <w:t>)</w:t>
            </w:r>
            <w:r w:rsidRPr="00362B9E">
              <w:t xml:space="preserve"> found a lower probability of being admitted to hospital and reductions in admission rates</w:t>
            </w:r>
            <w:r w:rsidR="00454015" w:rsidRPr="00A80830">
              <w:rPr>
                <w:rFonts w:ascii="Times New Roman" w:hAnsi="Times New Roman" w:cs="Times New Roman"/>
                <w:i/>
                <w:sz w:val="24"/>
                <w:szCs w:val="24"/>
              </w:rPr>
              <w:t>.</w:t>
            </w:r>
            <w:r>
              <w:rPr>
                <w:rFonts w:ascii="Times New Roman" w:hAnsi="Times New Roman" w:cs="Times New Roman"/>
                <w:i/>
                <w:sz w:val="24"/>
                <w:szCs w:val="24"/>
              </w:rPr>
              <w:t xml:space="preserve"> </w:t>
            </w:r>
            <w:r>
              <w:t xml:space="preserve">An Australian </w:t>
            </w:r>
            <w:r w:rsidRPr="00FB6F77">
              <w:t>report cited that there was an overall decrease in acute bed usage following the adoption of the CR</w:t>
            </w:r>
            <w:r w:rsidR="0067122D">
              <w:t>H</w:t>
            </w:r>
            <w:r w:rsidRPr="00FB6F77">
              <w:t>T model</w:t>
            </w:r>
            <w:r w:rsidR="00014681">
              <w:t xml:space="preserve"> </w:t>
            </w:r>
            <w:r w:rsidR="00014681" w:rsidRPr="00FB6F77">
              <w:t>(Johnson, 2004)</w:t>
            </w:r>
            <w:r>
              <w:t>. A</w:t>
            </w:r>
            <w:r w:rsidR="004F2A1A">
              <w:t>n English</w:t>
            </w:r>
            <w:r>
              <w:t xml:space="preserve"> report found </w:t>
            </w:r>
            <w:r w:rsidRPr="00832BAB">
              <w:t xml:space="preserve">no evidence that the </w:t>
            </w:r>
            <w:r>
              <w:t xml:space="preserve">British </w:t>
            </w:r>
            <w:r w:rsidR="004F2A1A">
              <w:t>CRHT policy per se had</w:t>
            </w:r>
            <w:r w:rsidRPr="00832BAB">
              <w:t xml:space="preserve"> made any difference to admissions </w:t>
            </w:r>
            <w:r>
              <w:t>in mental health facilities</w:t>
            </w:r>
            <w:r w:rsidR="00014681">
              <w:t xml:space="preserve"> (Jacobs and </w:t>
            </w:r>
            <w:proofErr w:type="spellStart"/>
            <w:r w:rsidR="00014681">
              <w:t>Barrenho</w:t>
            </w:r>
            <w:proofErr w:type="spellEnd"/>
            <w:r w:rsidR="00014681">
              <w:t>, 2011)</w:t>
            </w:r>
            <w:r>
              <w:t>.</w:t>
            </w:r>
            <w:r w:rsidR="00E37BC6">
              <w:t xml:space="preserve"> While </w:t>
            </w:r>
            <w:r w:rsidR="004F2A1A">
              <w:t xml:space="preserve">the CRHT model made no impact on admissions it is may be a </w:t>
            </w:r>
            <w:r w:rsidR="00E37BC6">
              <w:t xml:space="preserve">cost </w:t>
            </w:r>
            <w:r w:rsidR="004F2A1A">
              <w:t>neutral method of delivering services.</w:t>
            </w:r>
          </w:p>
          <w:p w14:paraId="1F4327B2" w14:textId="166A3BA6" w:rsidR="004F2A1A" w:rsidRDefault="004F2A1A" w:rsidP="004F2A1A">
            <w:r w:rsidRPr="008B5AE6">
              <w:t xml:space="preserve">According to the literature, </w:t>
            </w:r>
            <w:r>
              <w:t xml:space="preserve">peer support services have </w:t>
            </w:r>
            <w:r w:rsidRPr="008B5AE6">
              <w:t>so</w:t>
            </w:r>
            <w:r>
              <w:t xml:space="preserve">me benefits for </w:t>
            </w:r>
            <w:r w:rsidR="00FF5D72">
              <w:t>consumer’s</w:t>
            </w:r>
            <w:r>
              <w:t xml:space="preserve"> </w:t>
            </w:r>
            <w:r w:rsidRPr="008B5AE6">
              <w:t>admission rates to psychiatric hospitals and community tenure, empowerment, social support and social functioning, empathy and a</w:t>
            </w:r>
            <w:r>
              <w:t>cceptance, and reducing stigma.</w:t>
            </w:r>
            <w:r w:rsidRPr="008B5AE6">
              <w:t xml:space="preserve"> Some randomized controlled trials comparing the employment of peer support workers with care as usual or other case management conditions report either improved outcomes or no change</w:t>
            </w:r>
            <w:r w:rsidR="00FF5D72">
              <w:t>.</w:t>
            </w:r>
          </w:p>
          <w:p w14:paraId="67C9C1AD" w14:textId="622F26A4" w:rsidR="00FF5D72" w:rsidRPr="00A80830" w:rsidRDefault="00FF5D72" w:rsidP="006E01B7">
            <w:pPr>
              <w:rPr>
                <w:rFonts w:ascii="Times New Roman" w:hAnsi="Times New Roman" w:cs="Times New Roman"/>
                <w:i/>
                <w:sz w:val="24"/>
                <w:szCs w:val="24"/>
              </w:rPr>
            </w:pPr>
          </w:p>
        </w:tc>
      </w:tr>
      <w:tr w:rsidR="00454015" w:rsidRPr="00A80830" w14:paraId="1B801062" w14:textId="77777777" w:rsidTr="0067122D">
        <w:tc>
          <w:tcPr>
            <w:tcW w:w="3425" w:type="dxa"/>
          </w:tcPr>
          <w:p w14:paraId="2C668781" w14:textId="6E569D58" w:rsidR="00454015" w:rsidRPr="00454015" w:rsidRDefault="00454015" w:rsidP="00454015">
            <w:pPr>
              <w:rPr>
                <w:rFonts w:ascii="Times New Roman" w:hAnsi="Times New Roman" w:cs="Times New Roman"/>
                <w:sz w:val="24"/>
                <w:szCs w:val="24"/>
              </w:rPr>
            </w:pPr>
            <w:r w:rsidRPr="00454015">
              <w:rPr>
                <w:rFonts w:ascii="Times New Roman" w:hAnsi="Times New Roman" w:cs="Times New Roman"/>
                <w:sz w:val="24"/>
                <w:szCs w:val="24"/>
              </w:rPr>
              <w:t>Description of Intended Program:</w:t>
            </w:r>
          </w:p>
        </w:tc>
        <w:tc>
          <w:tcPr>
            <w:tcW w:w="5930" w:type="dxa"/>
          </w:tcPr>
          <w:p w14:paraId="15BBAFCA" w14:textId="788608BD" w:rsidR="00FE70F3" w:rsidRPr="006001A6" w:rsidRDefault="00FE70F3" w:rsidP="00FE70F3">
            <w:r>
              <w:t xml:space="preserve">CET is a </w:t>
            </w:r>
            <w:r w:rsidRPr="006001A6">
              <w:t xml:space="preserve">team of </w:t>
            </w:r>
            <w:r>
              <w:t xml:space="preserve">professionals and quasi-professionals </w:t>
            </w:r>
            <w:r w:rsidRPr="006001A6">
              <w:t xml:space="preserve">capable of assisting people who voluntarily want </w:t>
            </w:r>
            <w:r>
              <w:t xml:space="preserve">mental health </w:t>
            </w:r>
            <w:r w:rsidRPr="006001A6">
              <w:t>assistance, are not in acute crisis, and do not require immediate hospitalization.</w:t>
            </w:r>
            <w:r>
              <w:t xml:space="preserve"> CET targets </w:t>
            </w:r>
            <w:r w:rsidRPr="006001A6">
              <w:t xml:space="preserve">people who are having a sub-acute mental health episode. </w:t>
            </w:r>
            <w:r w:rsidR="00014681" w:rsidRPr="00014681">
              <w:t>Sub-acute mental health care refers to care for a person who is either becoming acutely psychiatrically unwell (whether or not they have previously been acutely mentally ill) or who is recovering from an episo</w:t>
            </w:r>
            <w:r w:rsidR="00D42ECA">
              <w:t>de of acute psychiatric illness (MHCH, 2011)</w:t>
            </w:r>
            <w:r w:rsidR="00014681">
              <w:t xml:space="preserve"> </w:t>
            </w:r>
            <w:r w:rsidRPr="006001A6">
              <w:t>The team of</w:t>
            </w:r>
            <w:r>
              <w:t>fers clients practical support</w:t>
            </w:r>
            <w:r w:rsidR="00670FD3">
              <w:t xml:space="preserve">, and short term intervention at home. </w:t>
            </w:r>
            <w:r w:rsidRPr="006001A6">
              <w:t xml:space="preserve">Clients have </w:t>
            </w:r>
            <w:r w:rsidRPr="006001A6">
              <w:lastRenderedPageBreak/>
              <w:t>opportunities to talk through current problems with team staff, in addition to brief interventions aimed at increasing the persons’ problem-solving abilities and activities of daily living skills.</w:t>
            </w:r>
            <w:r w:rsidR="00670FD3">
              <w:t xml:space="preserve"> </w:t>
            </w:r>
            <w:r w:rsidRPr="006001A6">
              <w:t>The team refers clients and follows up to see if clients co</w:t>
            </w:r>
            <w:r w:rsidR="00670FD3">
              <w:t>nnect with referrals. Also CET</w:t>
            </w:r>
            <w:r w:rsidRPr="006001A6">
              <w:t xml:space="preserve"> provide</w:t>
            </w:r>
            <w:r w:rsidR="00670FD3">
              <w:t>s</w:t>
            </w:r>
            <w:r w:rsidRPr="006001A6">
              <w:t xml:space="preserve"> clients and interested people with education about mental health problems for cl</w:t>
            </w:r>
            <w:r w:rsidR="00670FD3">
              <w:t>ients and their social network.</w:t>
            </w:r>
          </w:p>
          <w:p w14:paraId="3E8F536B" w14:textId="1AD6C7C6" w:rsidR="00454015" w:rsidRPr="00A80830" w:rsidRDefault="00454015" w:rsidP="0092298B">
            <w:pPr>
              <w:rPr>
                <w:rFonts w:ascii="Times New Roman" w:hAnsi="Times New Roman" w:cs="Times New Roman"/>
                <w:i/>
                <w:sz w:val="24"/>
                <w:szCs w:val="24"/>
              </w:rPr>
            </w:pPr>
          </w:p>
        </w:tc>
      </w:tr>
      <w:tr w:rsidR="00454015" w:rsidRPr="00A80830" w14:paraId="245453E5" w14:textId="77777777" w:rsidTr="0067122D">
        <w:tc>
          <w:tcPr>
            <w:tcW w:w="3425" w:type="dxa"/>
          </w:tcPr>
          <w:p w14:paraId="1B013148" w14:textId="77777777" w:rsidR="00454015" w:rsidRPr="00454015" w:rsidRDefault="00454015" w:rsidP="0092298B">
            <w:pPr>
              <w:rPr>
                <w:rFonts w:ascii="Times New Roman" w:hAnsi="Times New Roman" w:cs="Times New Roman"/>
                <w:sz w:val="24"/>
                <w:szCs w:val="24"/>
              </w:rPr>
            </w:pPr>
            <w:r w:rsidRPr="00454015">
              <w:rPr>
                <w:rFonts w:ascii="Times New Roman" w:hAnsi="Times New Roman" w:cs="Times New Roman"/>
                <w:sz w:val="24"/>
                <w:szCs w:val="24"/>
              </w:rPr>
              <w:lastRenderedPageBreak/>
              <w:t>Preliminary Budget:</w:t>
            </w:r>
          </w:p>
        </w:tc>
        <w:tc>
          <w:tcPr>
            <w:tcW w:w="5930" w:type="dxa"/>
          </w:tcPr>
          <w:p w14:paraId="37E3417E" w14:textId="51FF06D5" w:rsidR="00454015" w:rsidRPr="00A80830" w:rsidRDefault="00454015" w:rsidP="0092298B">
            <w:pPr>
              <w:rPr>
                <w:rFonts w:ascii="Times New Roman" w:hAnsi="Times New Roman" w:cs="Times New Roman"/>
                <w:i/>
                <w:sz w:val="24"/>
                <w:szCs w:val="24"/>
              </w:rPr>
            </w:pPr>
            <w:r w:rsidRPr="00A80830">
              <w:rPr>
                <w:rFonts w:ascii="Times New Roman" w:hAnsi="Times New Roman" w:cs="Times New Roman"/>
                <w:sz w:val="24"/>
                <w:szCs w:val="24"/>
              </w:rPr>
              <w:t>$1,000,000</w:t>
            </w:r>
            <w:r w:rsidRPr="00A80830">
              <w:rPr>
                <w:rFonts w:ascii="Times New Roman" w:hAnsi="Times New Roman" w:cs="Times New Roman"/>
                <w:i/>
                <w:sz w:val="24"/>
                <w:szCs w:val="24"/>
              </w:rPr>
              <w:t xml:space="preserve"> </w:t>
            </w:r>
          </w:p>
        </w:tc>
      </w:tr>
    </w:tbl>
    <w:p w14:paraId="0FC59800" w14:textId="77777777" w:rsidR="00176499" w:rsidRPr="00176499" w:rsidRDefault="00176499" w:rsidP="0034121A">
      <w:pPr>
        <w:outlineLvl w:val="0"/>
        <w:rPr>
          <w:rFonts w:ascii="Times New Roman" w:hAnsi="Times New Roman" w:cs="Times New Roman"/>
          <w:b/>
          <w:sz w:val="24"/>
          <w:szCs w:val="24"/>
        </w:rPr>
      </w:pPr>
      <w:r w:rsidRPr="00176499">
        <w:rPr>
          <w:rFonts w:ascii="Times New Roman" w:hAnsi="Times New Roman" w:cs="Times New Roman"/>
          <w:b/>
          <w:sz w:val="24"/>
          <w:szCs w:val="24"/>
        </w:rPr>
        <w:t xml:space="preserve">Recommendation to the ABCGC: </w:t>
      </w:r>
    </w:p>
    <w:p w14:paraId="2A64E81B" w14:textId="0C831D90" w:rsidR="00176499" w:rsidRDefault="00176499" w:rsidP="00670FD3">
      <w:r w:rsidRPr="0078183A">
        <w:t xml:space="preserve">The ABCGC Subcommittee on </w:t>
      </w:r>
      <w:r w:rsidR="005E6845" w:rsidRPr="00686C0B">
        <w:rPr>
          <w:i/>
        </w:rPr>
        <w:t>Prevention, Intervention and Harm Reduction and Crisis</w:t>
      </w:r>
      <w:r w:rsidR="005E6845" w:rsidRPr="0078183A">
        <w:t xml:space="preserve"> </w:t>
      </w:r>
      <w:r w:rsidRPr="0078183A">
        <w:t xml:space="preserve">recommends that Bernalillo County and the City of Albuquerque </w:t>
      </w:r>
      <w:r w:rsidR="00BE64F7">
        <w:t>take</w:t>
      </w:r>
      <w:r>
        <w:t xml:space="preserve"> </w:t>
      </w:r>
      <w:r w:rsidR="00BE64F7">
        <w:t>steps to expand</w:t>
      </w:r>
      <w:r>
        <w:t xml:space="preserve"> </w:t>
      </w:r>
      <w:r w:rsidR="00670FD3">
        <w:rPr>
          <w:i/>
        </w:rPr>
        <w:t xml:space="preserve">services to people </w:t>
      </w:r>
      <w:r w:rsidR="00BE64F7">
        <w:rPr>
          <w:i/>
        </w:rPr>
        <w:t xml:space="preserve">that have </w:t>
      </w:r>
      <w:r w:rsidR="00670FD3">
        <w:rPr>
          <w:i/>
        </w:rPr>
        <w:t xml:space="preserve">sub-acute mental health </w:t>
      </w:r>
      <w:r w:rsidR="00BE64F7">
        <w:rPr>
          <w:i/>
        </w:rPr>
        <w:t>needs</w:t>
      </w:r>
      <w:r w:rsidR="00670FD3">
        <w:rPr>
          <w:i/>
        </w:rPr>
        <w:t xml:space="preserve"> </w:t>
      </w:r>
      <w:r>
        <w:t>as described in the</w:t>
      </w:r>
      <w:r w:rsidRPr="0078183A">
        <w:t xml:space="preserve"> </w:t>
      </w:r>
      <w:r w:rsidR="005E6845">
        <w:rPr>
          <w:i/>
        </w:rPr>
        <w:t xml:space="preserve">Community Engagement </w:t>
      </w:r>
      <w:r w:rsidR="005E6845" w:rsidRPr="00670FD3">
        <w:rPr>
          <w:i/>
        </w:rPr>
        <w:t>Teams</w:t>
      </w:r>
      <w:r w:rsidRPr="00670FD3">
        <w:rPr>
          <w:i/>
        </w:rPr>
        <w:t xml:space="preserve"> </w:t>
      </w:r>
      <w:r w:rsidR="00670FD3" w:rsidRPr="00670FD3">
        <w:rPr>
          <w:i/>
        </w:rPr>
        <w:t>(CET)</w:t>
      </w:r>
      <w:r w:rsidR="00670FD3">
        <w:t xml:space="preserve"> </w:t>
      </w:r>
      <w:r w:rsidRPr="0078183A">
        <w:t>Project Proposal.</w:t>
      </w:r>
    </w:p>
    <w:p w14:paraId="7CA71690" w14:textId="4BB6DC84" w:rsidR="00504F5C" w:rsidRDefault="00504F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C291ECF" w14:textId="77777777" w:rsidR="001F3035" w:rsidRPr="001F3035" w:rsidRDefault="001F3035" w:rsidP="0034121A">
      <w:pPr>
        <w:outlineLvl w:val="0"/>
        <w:rPr>
          <w:rFonts w:ascii="Times New Roman" w:hAnsi="Times New Roman" w:cs="Times New Roman"/>
          <w:b/>
          <w:sz w:val="24"/>
          <w:szCs w:val="24"/>
        </w:rPr>
      </w:pPr>
      <w:r w:rsidRPr="001F3035">
        <w:rPr>
          <w:rFonts w:ascii="Times New Roman" w:hAnsi="Times New Roman" w:cs="Times New Roman"/>
          <w:b/>
          <w:sz w:val="24"/>
          <w:szCs w:val="24"/>
        </w:rPr>
        <w:lastRenderedPageBreak/>
        <w:t>SECTION 1: Problem Identification</w:t>
      </w:r>
    </w:p>
    <w:p w14:paraId="508FE495" w14:textId="2B3AFBFE" w:rsidR="001F3035" w:rsidRPr="009573B6" w:rsidRDefault="001F3035" w:rsidP="009573B6">
      <w:pPr>
        <w:tabs>
          <w:tab w:val="left" w:pos="6278"/>
        </w:tabs>
        <w:rPr>
          <w:rFonts w:ascii="Times New Roman" w:hAnsi="Times New Roman" w:cs="Times New Roman"/>
          <w:sz w:val="24"/>
          <w:szCs w:val="24"/>
          <w:u w:val="single"/>
        </w:rPr>
      </w:pPr>
      <w:r w:rsidRPr="001F3035">
        <w:rPr>
          <w:rFonts w:ascii="Times New Roman" w:hAnsi="Times New Roman" w:cs="Times New Roman"/>
          <w:sz w:val="24"/>
          <w:szCs w:val="24"/>
          <w:u w:val="single"/>
        </w:rPr>
        <w:t>Problem Statement</w:t>
      </w:r>
      <w:r w:rsidRPr="009573B6">
        <w:rPr>
          <w:rFonts w:ascii="Times New Roman" w:hAnsi="Times New Roman" w:cs="Times New Roman"/>
          <w:sz w:val="24"/>
          <w:szCs w:val="24"/>
          <w:u w:val="single"/>
        </w:rPr>
        <w:t>:</w:t>
      </w:r>
    </w:p>
    <w:p w14:paraId="7F9FC43C" w14:textId="5F394748" w:rsidR="006C46CE" w:rsidRPr="00454015" w:rsidRDefault="00042E9A" w:rsidP="00176499">
      <w:r>
        <w:t xml:space="preserve">A method is needed to connect and serve people in need of </w:t>
      </w:r>
      <w:r w:rsidR="00D732AE">
        <w:t>sub</w:t>
      </w:r>
      <w:r w:rsidR="00670FD3">
        <w:t>-</w:t>
      </w:r>
      <w:r w:rsidR="00D732AE">
        <w:t xml:space="preserve">acute </w:t>
      </w:r>
      <w:r>
        <w:t xml:space="preserve">mental health services. </w:t>
      </w:r>
      <w:r w:rsidR="00CE6772">
        <w:t>People</w:t>
      </w:r>
      <w:r w:rsidR="006C46CE" w:rsidRPr="006C46CE">
        <w:t xml:space="preserve"> need mental health services</w:t>
      </w:r>
      <w:r w:rsidR="00372E5B">
        <w:rPr>
          <w:iCs/>
        </w:rPr>
        <w:t xml:space="preserve"> because of </w:t>
      </w:r>
      <w:r w:rsidR="00380B67">
        <w:rPr>
          <w:iCs/>
        </w:rPr>
        <w:t xml:space="preserve">an </w:t>
      </w:r>
      <w:r w:rsidR="00372E5B">
        <w:rPr>
          <w:iCs/>
        </w:rPr>
        <w:t xml:space="preserve">inability </w:t>
      </w:r>
      <w:r w:rsidR="00372E5B">
        <w:t xml:space="preserve">or reluctance </w:t>
      </w:r>
      <w:r w:rsidR="002F0B02">
        <w:t>to</w:t>
      </w:r>
      <w:r>
        <w:t xml:space="preserve"> seek services themselves.</w:t>
      </w:r>
    </w:p>
    <w:p w14:paraId="28A99903" w14:textId="2CE368DF" w:rsidR="00B14E8D" w:rsidRDefault="001F3035" w:rsidP="00270F59">
      <w:pPr>
        <w:rPr>
          <w:rFonts w:ascii="Times New Roman" w:hAnsi="Times New Roman" w:cs="Times New Roman"/>
          <w:i/>
          <w:sz w:val="24"/>
          <w:szCs w:val="24"/>
        </w:rPr>
      </w:pPr>
      <w:r>
        <w:rPr>
          <w:rFonts w:ascii="Times New Roman" w:hAnsi="Times New Roman" w:cs="Times New Roman"/>
          <w:sz w:val="24"/>
          <w:szCs w:val="24"/>
          <w:u w:val="single"/>
        </w:rPr>
        <w:t>Problem Description:</w:t>
      </w:r>
    </w:p>
    <w:p w14:paraId="4E0225A2" w14:textId="13025DD2" w:rsidR="00D732AE" w:rsidRDefault="00D732AE" w:rsidP="00A80830">
      <w:r>
        <w:t>Bob, a 25-year-old man, lost his job</w:t>
      </w:r>
      <w:r w:rsidR="00EA37A9">
        <w:t>,</w:t>
      </w:r>
      <w:r w:rsidR="002E5080">
        <w:t xml:space="preserve"> his friends feel</w:t>
      </w:r>
      <w:r>
        <w:t xml:space="preserve"> he </w:t>
      </w:r>
      <w:r w:rsidR="00A558DD">
        <w:t>is</w:t>
      </w:r>
      <w:r w:rsidR="003070BD">
        <w:t xml:space="preserve"> depressed. Never having had a mental health episode, Bob is </w:t>
      </w:r>
      <w:r w:rsidR="00A558DD">
        <w:t>leery of contacting his doctor or the local mental health hospital for help.</w:t>
      </w:r>
      <w:r>
        <w:t xml:space="preserve"> </w:t>
      </w:r>
      <w:r w:rsidR="00A558DD">
        <w:t>Last night, Bob’s well-meaning n</w:t>
      </w:r>
      <w:r>
        <w:t xml:space="preserve">eighbor </w:t>
      </w:r>
      <w:r w:rsidR="00A558DD">
        <w:t>called</w:t>
      </w:r>
      <w:r>
        <w:t xml:space="preserve"> </w:t>
      </w:r>
      <w:r w:rsidR="00A558DD">
        <w:t>911 expecting</w:t>
      </w:r>
      <w:r>
        <w:t xml:space="preserve"> to talk to a mental health professional. Instead, the police arrive</w:t>
      </w:r>
      <w:r w:rsidR="00DE35BB">
        <w:t>d</w:t>
      </w:r>
      <w:r>
        <w:t xml:space="preserve"> at </w:t>
      </w:r>
      <w:r w:rsidR="00A558DD">
        <w:t>Bob’s</w:t>
      </w:r>
      <w:r>
        <w:t xml:space="preserve"> house. After </w:t>
      </w:r>
      <w:r w:rsidR="00EA37A9">
        <w:t xml:space="preserve">a very uncomfortable </w:t>
      </w:r>
      <w:r w:rsidR="00A558DD">
        <w:t>conversation</w:t>
      </w:r>
      <w:r w:rsidR="00EA37A9">
        <w:t xml:space="preserve"> with Bob, the police take him to the </w:t>
      </w:r>
      <w:r w:rsidR="00BE64F7">
        <w:t>local mental health hospital</w:t>
      </w:r>
      <w:r w:rsidR="00EA37A9">
        <w:t>.</w:t>
      </w:r>
    </w:p>
    <w:p w14:paraId="1A54C430" w14:textId="1DCD5AB5" w:rsidR="00D4317C" w:rsidRDefault="009B638F" w:rsidP="00A80830">
      <w:r>
        <w:t>The Lopez family had been concerned about their daughter’s behavior for almost a year.</w:t>
      </w:r>
      <w:r w:rsidR="00BE64F7">
        <w:t xml:space="preserve"> Alice was s</w:t>
      </w:r>
      <w:r w:rsidR="00F3405B">
        <w:t xml:space="preserve">hy and </w:t>
      </w:r>
      <w:r w:rsidR="0012170C">
        <w:t>quiet, she seldom left the house and seemed depressed. On several occasions her parents had thought of calling someone for help but they were afraid their daughter would have to go to a hospital and they already had hospital bills. No one seemed willing to come to their house to check on their daughter.</w:t>
      </w:r>
    </w:p>
    <w:p w14:paraId="239DEF85" w14:textId="60DE9977" w:rsidR="00EA37A9" w:rsidRDefault="00F82645" w:rsidP="00A80830">
      <w:r>
        <w:t xml:space="preserve">After several months in the hospital Alice was released. </w:t>
      </w:r>
      <w:r w:rsidR="00270F59">
        <w:t>She felt a lot of stress – at home would she be able to use the coping skills she learned in the hospital?</w:t>
      </w:r>
    </w:p>
    <w:p w14:paraId="11404D8F" w14:textId="1F5D91DA" w:rsidR="00270F59" w:rsidRPr="00D732AE" w:rsidRDefault="00270F59" w:rsidP="00A80830">
      <w:r w:rsidRPr="00D732AE">
        <w:t>Leaders in the development of early intervention servic</w:t>
      </w:r>
      <w:r w:rsidR="00454015">
        <w:t>es agree on several principles:</w:t>
      </w:r>
    </w:p>
    <w:p w14:paraId="6AEC25F6" w14:textId="03353F79" w:rsidR="00270F59" w:rsidRPr="00695362" w:rsidRDefault="00504F5C" w:rsidP="00270F59">
      <w:pPr>
        <w:pStyle w:val="ListParagraph"/>
        <w:numPr>
          <w:ilvl w:val="0"/>
          <w:numId w:val="11"/>
        </w:numPr>
        <w:spacing w:after="120" w:line="240" w:lineRule="auto"/>
        <w:contextualSpacing w:val="0"/>
      </w:pPr>
      <w:r>
        <w:t>A</w:t>
      </w:r>
      <w:r w:rsidR="00270F59" w:rsidRPr="00695362">
        <w:t>dmission</w:t>
      </w:r>
      <w:r>
        <w:t xml:space="preserve"> to mental health hospital</w:t>
      </w:r>
      <w:r w:rsidR="00270F59" w:rsidRPr="00695362">
        <w:t xml:space="preserve"> has harmful as well as therapeutic effects, is unacceptable to many patients and carries a heavy stigma (Rose 2001). It should therefore be avoided whenever possible.</w:t>
      </w:r>
    </w:p>
    <w:p w14:paraId="0079455C" w14:textId="77777777" w:rsidR="00270F59" w:rsidRPr="00695362" w:rsidRDefault="00270F59" w:rsidP="00270F59">
      <w:pPr>
        <w:pStyle w:val="ListParagraph"/>
        <w:numPr>
          <w:ilvl w:val="0"/>
          <w:numId w:val="11"/>
        </w:numPr>
        <w:spacing w:after="120" w:line="240" w:lineRule="auto"/>
        <w:contextualSpacing w:val="0"/>
      </w:pPr>
      <w:r w:rsidRPr="00695362">
        <w:t>Crises have important social and environmental triggers (</w:t>
      </w:r>
      <w:proofErr w:type="spellStart"/>
      <w:r w:rsidRPr="00695362">
        <w:t>Polak</w:t>
      </w:r>
      <w:proofErr w:type="spellEnd"/>
      <w:r w:rsidRPr="00695362">
        <w:t xml:space="preserve"> 1970). </w:t>
      </w:r>
      <w:r>
        <w:t xml:space="preserve">Addressing issues early in the home </w:t>
      </w:r>
      <w:r w:rsidRPr="00695362">
        <w:t>allows these to be better addressed.</w:t>
      </w:r>
    </w:p>
    <w:p w14:paraId="4766789E" w14:textId="77777777" w:rsidR="00270F59" w:rsidRPr="00695362" w:rsidRDefault="00270F59" w:rsidP="00270F59">
      <w:pPr>
        <w:pStyle w:val="ListParagraph"/>
        <w:numPr>
          <w:ilvl w:val="0"/>
          <w:numId w:val="11"/>
        </w:numPr>
        <w:spacing w:after="120" w:line="240" w:lineRule="auto"/>
        <w:contextualSpacing w:val="0"/>
      </w:pPr>
      <w:r w:rsidRPr="00695362">
        <w:t>Coping skills are most effectively applied in the context in which they have been learnt (Stein 1980). Thus, after home treatment, patients are more likely to be able to apply skills learnt to pre-empt or reduce the severity of future crises.</w:t>
      </w:r>
    </w:p>
    <w:p w14:paraId="412E26F5" w14:textId="77777777" w:rsidR="00270F59" w:rsidRPr="00695362" w:rsidRDefault="00270F59" w:rsidP="00270F59">
      <w:pPr>
        <w:pStyle w:val="ListParagraph"/>
        <w:numPr>
          <w:ilvl w:val="0"/>
          <w:numId w:val="11"/>
        </w:numPr>
        <w:spacing w:after="120" w:line="240" w:lineRule="auto"/>
        <w:contextualSpacing w:val="0"/>
      </w:pPr>
      <w:r w:rsidRPr="00695362">
        <w:t>Relationships between patients and professionals are different and less dominated by inequalities of power when crises are managed in the patients’ own homes (</w:t>
      </w:r>
      <w:proofErr w:type="spellStart"/>
      <w:r w:rsidRPr="00695362">
        <w:t>Mezzina</w:t>
      </w:r>
      <w:proofErr w:type="spellEnd"/>
      <w:r w:rsidRPr="00695362">
        <w:t xml:space="preserve"> 1995).</w:t>
      </w:r>
    </w:p>
    <w:p w14:paraId="11C13FDF" w14:textId="575FAAE2" w:rsidR="00270F59" w:rsidRPr="00270F59" w:rsidRDefault="00270F59" w:rsidP="00A80830">
      <w:r w:rsidRPr="00270F59">
        <w:t>According to the federal</w:t>
      </w:r>
      <w:r w:rsidRPr="00270F59">
        <w:rPr>
          <w:rFonts w:ascii="MS Mincho" w:eastAsia="MS Mincho" w:hAnsi="MS Mincho" w:cs="MS Mincho"/>
        </w:rPr>
        <w:t xml:space="preserve"> </w:t>
      </w:r>
      <w:r w:rsidRPr="00270F59">
        <w:t>Substance Abuse and Mental Health Services</w:t>
      </w:r>
      <w:r w:rsidRPr="00270F59">
        <w:rPr>
          <w:rFonts w:ascii="MS Mincho" w:eastAsia="MS Mincho" w:hAnsi="MS Mincho" w:cs="MS Mincho"/>
        </w:rPr>
        <w:t xml:space="preserve"> </w:t>
      </w:r>
      <w:r w:rsidRPr="00270F59">
        <w:t>Administration (SAMHSA) New Mexico has higher</w:t>
      </w:r>
      <w:r>
        <w:rPr>
          <w:rFonts w:ascii="MS Mincho" w:eastAsia="MS Mincho" w:hAnsi="MS Mincho" w:cs="MS Mincho"/>
        </w:rPr>
        <w:t xml:space="preserve"> </w:t>
      </w:r>
      <w:r w:rsidRPr="00270F59">
        <w:t>rates of mental illness, serious mental illness</w:t>
      </w:r>
      <w:r w:rsidRPr="00270F59">
        <w:rPr>
          <w:rFonts w:ascii="MS Mincho" w:eastAsia="MS Mincho" w:hAnsi="MS Mincho" w:cs="MS Mincho"/>
        </w:rPr>
        <w:t xml:space="preserve"> </w:t>
      </w:r>
      <w:r w:rsidRPr="00270F59">
        <w:t>and s</w:t>
      </w:r>
      <w:r w:rsidR="00A80830">
        <w:t>uicide than national averages (</w:t>
      </w:r>
      <w:r w:rsidRPr="00270F59">
        <w:t>NM LFC, 2014).</w:t>
      </w:r>
      <w:r>
        <w:t xml:space="preserve"> </w:t>
      </w:r>
      <w:r w:rsidRPr="00270F59">
        <w:t>SAMHSA estimates among adults in Bernalillo county an average of 20.2% experienced a diagnosable mental, behavioral, or emotional disorder in the past year. Additionally, SAMHSA estimates that 6.8% of adults in Bernalillo county had a major depressive episode in the past year (SAMHSA, 2014).</w:t>
      </w:r>
    </w:p>
    <w:p w14:paraId="2901CEAF" w14:textId="4E31226A" w:rsidR="00D732AE" w:rsidRDefault="00D732AE" w:rsidP="00A80830">
      <w:r w:rsidRPr="006C46CE">
        <w:lastRenderedPageBreak/>
        <w:t xml:space="preserve">There may be many reasonable causes including, experiences of poor mental health services, lack of access, or concerns about stigma. Some mental illnesses can include a lack of insight or symptoms that are obstacles to seeking treatment. For people living with </w:t>
      </w:r>
      <w:r>
        <w:t>mental illness</w:t>
      </w:r>
      <w:r w:rsidRPr="006C46CE">
        <w:t xml:space="preserve"> voluntary treatment is </w:t>
      </w:r>
      <w:r>
        <w:t>preferable</w:t>
      </w:r>
      <w:r w:rsidRPr="00D732AE">
        <w:t xml:space="preserve"> (NM House Memorial 45 Task Force, 2012)</w:t>
      </w:r>
      <w:r>
        <w:t>.</w:t>
      </w:r>
    </w:p>
    <w:p w14:paraId="3C30AE0C" w14:textId="77777777" w:rsidR="00454015" w:rsidRPr="00D732AE" w:rsidRDefault="00454015" w:rsidP="00A80830"/>
    <w:p w14:paraId="0A24B7BF" w14:textId="462B1CC0" w:rsidR="001D70FD" w:rsidRDefault="009325FD" w:rsidP="005C221D">
      <w:pPr>
        <w:rPr>
          <w:rFonts w:ascii="Helvetica" w:hAnsi="Helvetica" w:cs="Helvetica"/>
          <w:color w:val="000000"/>
          <w:sz w:val="16"/>
          <w:szCs w:val="16"/>
        </w:rPr>
      </w:pPr>
      <w:r>
        <w:rPr>
          <w:rFonts w:ascii="Helvetica" w:hAnsi="Helvetica" w:cs="Helvetica"/>
          <w:color w:val="000000"/>
          <w:sz w:val="16"/>
          <w:szCs w:val="16"/>
        </w:rPr>
        <w:t>New Mexico Legislative Finance Committee. (2014)</w:t>
      </w:r>
      <w:r w:rsidR="00D14050">
        <w:rPr>
          <w:rFonts w:ascii="Helvetica" w:hAnsi="Helvetica" w:cs="Helvetica"/>
          <w:color w:val="000000"/>
          <w:sz w:val="16"/>
          <w:szCs w:val="16"/>
        </w:rPr>
        <w:t>.</w:t>
      </w:r>
      <w:r>
        <w:rPr>
          <w:rFonts w:ascii="Helvetica" w:hAnsi="Helvetica" w:cs="Helvetica"/>
          <w:color w:val="000000"/>
          <w:sz w:val="16"/>
          <w:szCs w:val="16"/>
        </w:rPr>
        <w:t xml:space="preserve"> Results First: Adult Behavioral Health Programs. Found online at: </w:t>
      </w:r>
      <w:r w:rsidR="00015CAC" w:rsidRPr="00015CAC">
        <w:rPr>
          <w:rFonts w:ascii="Helvetica" w:hAnsi="Helvetica" w:cs="Helvetica"/>
          <w:color w:val="000000"/>
          <w:sz w:val="16"/>
          <w:szCs w:val="16"/>
        </w:rPr>
        <w:t>https://www.nmlegis.gov/lcs/lfc/lfcdocs/resultsfirst/Evidence-Based%20Behavioral%20Health%20Programs%20to%20Improve%20Outcomes%20for%20Adults.pdf</w:t>
      </w:r>
    </w:p>
    <w:p w14:paraId="4EA8B234" w14:textId="75B1D96A" w:rsidR="00015CAC" w:rsidRDefault="00015CAC" w:rsidP="00015CAC">
      <w:pPr>
        <w:rPr>
          <w:rFonts w:ascii="Helvetica" w:hAnsi="Helvetica" w:cs="Helvetica"/>
          <w:color w:val="000000"/>
          <w:sz w:val="16"/>
          <w:szCs w:val="16"/>
        </w:rPr>
      </w:pPr>
      <w:proofErr w:type="spellStart"/>
      <w:r>
        <w:rPr>
          <w:rFonts w:ascii="Helvetica" w:hAnsi="Helvetica" w:cs="Helvetica"/>
          <w:color w:val="000000"/>
          <w:sz w:val="16"/>
          <w:szCs w:val="16"/>
        </w:rPr>
        <w:t>Polak</w:t>
      </w:r>
      <w:proofErr w:type="spellEnd"/>
      <w:r>
        <w:rPr>
          <w:rFonts w:ascii="Helvetica" w:hAnsi="Helvetica" w:cs="Helvetica"/>
          <w:color w:val="000000"/>
          <w:sz w:val="16"/>
          <w:szCs w:val="16"/>
        </w:rPr>
        <w:t xml:space="preserve"> P</w:t>
      </w:r>
      <w:r w:rsidR="00D14050">
        <w:rPr>
          <w:rFonts w:ascii="Helvetica" w:hAnsi="Helvetica" w:cs="Helvetica"/>
          <w:color w:val="000000"/>
          <w:sz w:val="16"/>
          <w:szCs w:val="16"/>
        </w:rPr>
        <w:t>.</w:t>
      </w:r>
      <w:r>
        <w:rPr>
          <w:rFonts w:ascii="Helvetica" w:hAnsi="Helvetica" w:cs="Helvetica"/>
          <w:color w:val="000000"/>
          <w:sz w:val="16"/>
          <w:szCs w:val="16"/>
        </w:rPr>
        <w:t xml:space="preserve"> (1970)</w:t>
      </w:r>
      <w:r w:rsidR="00D14050">
        <w:rPr>
          <w:rFonts w:ascii="Helvetica" w:hAnsi="Helvetica" w:cs="Helvetica"/>
          <w:color w:val="000000"/>
          <w:sz w:val="16"/>
          <w:szCs w:val="16"/>
        </w:rPr>
        <w:t>.</w:t>
      </w:r>
      <w:r>
        <w:rPr>
          <w:rFonts w:ascii="Helvetica" w:hAnsi="Helvetica" w:cs="Helvetica"/>
          <w:color w:val="000000"/>
          <w:sz w:val="16"/>
          <w:szCs w:val="16"/>
        </w:rPr>
        <w:t xml:space="preserve"> Patterns of discord: goals of patients, therapists, and community members. Archives of General Psychiatry 23: 277–83.</w:t>
      </w:r>
    </w:p>
    <w:p w14:paraId="4712938A" w14:textId="5869F120" w:rsidR="00695362" w:rsidRDefault="001D70FD" w:rsidP="003359A0">
      <w:pPr>
        <w:rPr>
          <w:rFonts w:ascii="Helvetica" w:hAnsi="Helvetica" w:cs="Helvetica"/>
          <w:color w:val="000000"/>
          <w:sz w:val="16"/>
          <w:szCs w:val="16"/>
        </w:rPr>
      </w:pPr>
      <w:r>
        <w:rPr>
          <w:rFonts w:ascii="Helvetica" w:hAnsi="Helvetica" w:cs="Helvetica"/>
          <w:color w:val="000000"/>
          <w:sz w:val="16"/>
          <w:szCs w:val="16"/>
        </w:rPr>
        <w:t>Rose D</w:t>
      </w:r>
      <w:r w:rsidR="00D14050">
        <w:rPr>
          <w:rFonts w:ascii="Helvetica" w:hAnsi="Helvetica" w:cs="Helvetica"/>
          <w:color w:val="000000"/>
          <w:sz w:val="16"/>
          <w:szCs w:val="16"/>
        </w:rPr>
        <w:t>.</w:t>
      </w:r>
      <w:r>
        <w:rPr>
          <w:rFonts w:ascii="Helvetica" w:hAnsi="Helvetica" w:cs="Helvetica"/>
          <w:color w:val="000000"/>
          <w:sz w:val="16"/>
          <w:szCs w:val="16"/>
        </w:rPr>
        <w:t xml:space="preserve"> (2001)</w:t>
      </w:r>
      <w:r w:rsidR="00D14050">
        <w:rPr>
          <w:rFonts w:ascii="Helvetica" w:hAnsi="Helvetica" w:cs="Helvetica"/>
          <w:color w:val="000000"/>
          <w:sz w:val="16"/>
          <w:szCs w:val="16"/>
        </w:rPr>
        <w:t>.</w:t>
      </w:r>
      <w:r>
        <w:rPr>
          <w:rFonts w:ascii="Helvetica" w:hAnsi="Helvetica" w:cs="Helvetica"/>
          <w:color w:val="000000"/>
          <w:sz w:val="16"/>
          <w:szCs w:val="16"/>
        </w:rPr>
        <w:t xml:space="preserve"> Users’ Voices: The Perspectives of Mental Health Service Users on Community and Hospital Care. Sainsbury Centre for Mental Health.</w:t>
      </w:r>
    </w:p>
    <w:p w14:paraId="38C95207" w14:textId="01E41C9A" w:rsidR="00015CAC" w:rsidRDefault="00D14050" w:rsidP="005C221D">
      <w:pPr>
        <w:rPr>
          <w:rFonts w:ascii="Helvetica" w:hAnsi="Helvetica" w:cs="Helvetica"/>
          <w:color w:val="000000"/>
          <w:sz w:val="16"/>
          <w:szCs w:val="16"/>
        </w:rPr>
      </w:pPr>
      <w:r>
        <w:rPr>
          <w:rFonts w:ascii="Helvetica" w:hAnsi="Helvetica" w:cs="Helvetica"/>
          <w:color w:val="000000"/>
          <w:sz w:val="16"/>
          <w:szCs w:val="16"/>
        </w:rPr>
        <w:t xml:space="preserve">SAMHSA. (2014). </w:t>
      </w:r>
      <w:r w:rsidR="00015CAC">
        <w:rPr>
          <w:rFonts w:ascii="Helvetica" w:hAnsi="Helvetica" w:cs="Helvetica"/>
          <w:color w:val="000000"/>
          <w:sz w:val="16"/>
          <w:szCs w:val="16"/>
        </w:rPr>
        <w:t>Center for Behavioral Health Statistics and Quality, National Survey on Drug Use and Health, 2012,</w:t>
      </w:r>
      <w:r>
        <w:rPr>
          <w:rFonts w:ascii="Helvetica" w:hAnsi="Helvetica" w:cs="Helvetica"/>
          <w:color w:val="000000"/>
          <w:sz w:val="16"/>
          <w:szCs w:val="16"/>
        </w:rPr>
        <w:t xml:space="preserve"> </w:t>
      </w:r>
      <w:r w:rsidR="00015CAC">
        <w:rPr>
          <w:rFonts w:ascii="Helvetica" w:hAnsi="Helvetica" w:cs="Helvetica"/>
          <w:color w:val="000000"/>
          <w:sz w:val="16"/>
          <w:szCs w:val="16"/>
        </w:rPr>
        <w:t>2013, and 2014.</w:t>
      </w:r>
    </w:p>
    <w:p w14:paraId="5FE41A64" w14:textId="10243FA3" w:rsidR="001D70FD" w:rsidRDefault="001D70FD" w:rsidP="005C221D">
      <w:pPr>
        <w:rPr>
          <w:rFonts w:ascii="Helvetica" w:hAnsi="Helvetica" w:cs="Helvetica"/>
          <w:color w:val="000000"/>
          <w:sz w:val="16"/>
          <w:szCs w:val="16"/>
        </w:rPr>
      </w:pPr>
      <w:r>
        <w:rPr>
          <w:rFonts w:ascii="Helvetica" w:hAnsi="Helvetica" w:cs="Helvetica"/>
          <w:color w:val="000000"/>
          <w:sz w:val="16"/>
          <w:szCs w:val="16"/>
        </w:rPr>
        <w:t>Stein LI, Test MA</w:t>
      </w:r>
      <w:r w:rsidR="00D14050">
        <w:rPr>
          <w:rFonts w:ascii="Helvetica" w:hAnsi="Helvetica" w:cs="Helvetica"/>
          <w:color w:val="000000"/>
          <w:sz w:val="16"/>
          <w:szCs w:val="16"/>
        </w:rPr>
        <w:t>.</w:t>
      </w:r>
      <w:r>
        <w:rPr>
          <w:rFonts w:ascii="Helvetica" w:hAnsi="Helvetica" w:cs="Helvetica"/>
          <w:color w:val="000000"/>
          <w:sz w:val="16"/>
          <w:szCs w:val="16"/>
        </w:rPr>
        <w:t xml:space="preserve"> (1980)</w:t>
      </w:r>
      <w:r w:rsidR="00D14050">
        <w:rPr>
          <w:rFonts w:ascii="Helvetica" w:hAnsi="Helvetica" w:cs="Helvetica"/>
          <w:color w:val="000000"/>
          <w:sz w:val="16"/>
          <w:szCs w:val="16"/>
        </w:rPr>
        <w:t>.</w:t>
      </w:r>
      <w:r>
        <w:rPr>
          <w:rFonts w:ascii="Helvetica" w:hAnsi="Helvetica" w:cs="Helvetica"/>
          <w:color w:val="000000"/>
          <w:sz w:val="16"/>
          <w:szCs w:val="16"/>
        </w:rPr>
        <w:t xml:space="preserve"> Alternative to mental hospital treatment. I. Conceptual model, treatment program, and clinical evaluation. Archives of General Psychiatry 37: 392–7.</w:t>
      </w:r>
    </w:p>
    <w:p w14:paraId="0F9C129C" w14:textId="2F0912D8" w:rsidR="001D70FD" w:rsidRPr="001D70FD" w:rsidRDefault="001D70FD" w:rsidP="005C221D">
      <w:pPr>
        <w:rPr>
          <w:rFonts w:ascii="Times New Roman" w:hAnsi="Times New Roman" w:cs="Times New Roman"/>
          <w:sz w:val="24"/>
          <w:szCs w:val="24"/>
        </w:rPr>
      </w:pPr>
      <w:proofErr w:type="spellStart"/>
      <w:r>
        <w:rPr>
          <w:rFonts w:ascii="Helvetica" w:hAnsi="Helvetica" w:cs="Helvetica"/>
          <w:color w:val="000000"/>
          <w:sz w:val="16"/>
          <w:szCs w:val="16"/>
        </w:rPr>
        <w:t>Mezzina</w:t>
      </w:r>
      <w:proofErr w:type="spellEnd"/>
      <w:r>
        <w:rPr>
          <w:rFonts w:ascii="Helvetica" w:hAnsi="Helvetica" w:cs="Helvetica"/>
          <w:color w:val="000000"/>
          <w:sz w:val="16"/>
          <w:szCs w:val="16"/>
        </w:rPr>
        <w:t xml:space="preserve"> R, </w:t>
      </w:r>
      <w:proofErr w:type="spellStart"/>
      <w:r>
        <w:rPr>
          <w:rFonts w:ascii="Helvetica" w:hAnsi="Helvetica" w:cs="Helvetica"/>
          <w:color w:val="000000"/>
          <w:sz w:val="16"/>
          <w:szCs w:val="16"/>
        </w:rPr>
        <w:t>Vidoni</w:t>
      </w:r>
      <w:proofErr w:type="spellEnd"/>
      <w:r>
        <w:rPr>
          <w:rFonts w:ascii="Helvetica" w:hAnsi="Helvetica" w:cs="Helvetica"/>
          <w:color w:val="000000"/>
          <w:sz w:val="16"/>
          <w:szCs w:val="16"/>
        </w:rPr>
        <w:t xml:space="preserve"> D (1995) Beyond the mental hospital: crisis intervention and continuity of care in Trieste. International Journal of Social Psychiatry 41: 1–20.</w:t>
      </w:r>
    </w:p>
    <w:p w14:paraId="2F5D5C50" w14:textId="77777777" w:rsidR="005C221D" w:rsidRDefault="005C221D" w:rsidP="005C221D">
      <w:pPr>
        <w:rPr>
          <w:rFonts w:ascii="Times New Roman" w:hAnsi="Times New Roman" w:cs="Times New Roman"/>
          <w:i/>
          <w:sz w:val="24"/>
          <w:szCs w:val="24"/>
        </w:rPr>
      </w:pPr>
    </w:p>
    <w:p w14:paraId="2BAB247B" w14:textId="77777777" w:rsidR="005C221D" w:rsidRDefault="005C221D" w:rsidP="005C221D">
      <w:pPr>
        <w:rPr>
          <w:rFonts w:ascii="Times New Roman" w:hAnsi="Times New Roman" w:cs="Times New Roman"/>
          <w:i/>
          <w:sz w:val="24"/>
          <w:szCs w:val="24"/>
        </w:rPr>
        <w:sectPr w:rsidR="005C221D">
          <w:footerReference w:type="default" r:id="rId8"/>
          <w:pgSz w:w="12240" w:h="15840"/>
          <w:pgMar w:top="1440" w:right="1440" w:bottom="1440" w:left="1440" w:header="720" w:footer="720" w:gutter="0"/>
          <w:cols w:space="720"/>
          <w:docGrid w:linePitch="360"/>
        </w:sectPr>
      </w:pPr>
    </w:p>
    <w:p w14:paraId="5FA35E18" w14:textId="77777777" w:rsidR="005C221D" w:rsidRPr="009573B6" w:rsidRDefault="005C221D"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 2: System Linkage Identification</w:t>
      </w:r>
    </w:p>
    <w:p w14:paraId="4E0DDE74" w14:textId="32D45CBD" w:rsidR="005C221D" w:rsidRDefault="00E551CC" w:rsidP="006F2EBB">
      <w:r>
        <w:t>Curr</w:t>
      </w:r>
      <w:r w:rsidR="00DE7532">
        <w:t xml:space="preserve">ently in Bernalillo </w:t>
      </w:r>
      <w:r w:rsidR="00321F3A">
        <w:t>C</w:t>
      </w:r>
      <w:r w:rsidR="00DE7532">
        <w:t>ounty the majority of</w:t>
      </w:r>
      <w:r>
        <w:t xml:space="preserve"> </w:t>
      </w:r>
      <w:r w:rsidR="00EF306F">
        <w:t>mental</w:t>
      </w:r>
      <w:r>
        <w:t xml:space="preserve"> health services </w:t>
      </w:r>
      <w:r w:rsidR="008D3067">
        <w:t xml:space="preserve">offer outpatient care, case management, and recovery oriented services. Fewer services are available for crisis care, </w:t>
      </w:r>
      <w:r w:rsidR="0025607A">
        <w:t xml:space="preserve">residential services, intensive outpatient </w:t>
      </w:r>
      <w:r w:rsidR="003B27C9">
        <w:t xml:space="preserve">services, and housing. </w:t>
      </w:r>
      <w:r w:rsidR="006562F0">
        <w:t>Current</w:t>
      </w:r>
      <w:r w:rsidR="003B27C9">
        <w:t>ly</w:t>
      </w:r>
      <w:r w:rsidR="006562F0">
        <w:t xml:space="preserve"> </w:t>
      </w:r>
      <w:r w:rsidR="00EF306F">
        <w:t>mental</w:t>
      </w:r>
      <w:r w:rsidR="006562F0">
        <w:t xml:space="preserve"> health services outside of the </w:t>
      </w:r>
      <w:r w:rsidR="003B27C9">
        <w:t>inpatient</w:t>
      </w:r>
      <w:r w:rsidR="006562F0">
        <w:t xml:space="preserve"> setting connect with people at the point of a crisis or most often in an emergency situation. </w:t>
      </w:r>
      <w:r w:rsidR="001E47B9">
        <w:t>The majority of services offered to outpatients deal with substance abuse problems. Private services are available but are expensive while public service providers are less costly but</w:t>
      </w:r>
      <w:r w:rsidR="003359A0">
        <w:t xml:space="preserve"> generally have a waiting l</w:t>
      </w:r>
      <w:r w:rsidR="00D47058">
        <w:t>ist (UNM Dept. of Psychiatry et</w:t>
      </w:r>
      <w:r w:rsidR="003359A0">
        <w:t xml:space="preserve"> al.,</w:t>
      </w:r>
      <w:r w:rsidR="008D1467">
        <w:t>2014)</w:t>
      </w:r>
      <w:r w:rsidR="001D1378">
        <w:t>.</w:t>
      </w:r>
    </w:p>
    <w:p w14:paraId="525E1138" w14:textId="58386D77" w:rsidR="00BB5319" w:rsidRPr="00BB5319" w:rsidRDefault="00274F59" w:rsidP="00BB5319">
      <w:r>
        <w:t>Public providers</w:t>
      </w:r>
      <w:r w:rsidR="005D4859">
        <w:t xml:space="preserve"> such as </w:t>
      </w:r>
      <w:r w:rsidR="00BD48F6">
        <w:t>the UNM Psychiatric Center P</w:t>
      </w:r>
      <w:r w:rsidR="005D4859">
        <w:t xml:space="preserve">sychiatric </w:t>
      </w:r>
      <w:r w:rsidR="00BD48F6">
        <w:t>Emergency S</w:t>
      </w:r>
      <w:r w:rsidR="005D4859">
        <w:t>ervices</w:t>
      </w:r>
      <w:r w:rsidR="00182D33">
        <w:t xml:space="preserve"> (PES)</w:t>
      </w:r>
      <w:r w:rsidR="00BD48F6">
        <w:t xml:space="preserve"> offer psychiatric services</w:t>
      </w:r>
      <w:r w:rsidR="008B5BD9">
        <w:t xml:space="preserve"> in a 24-hour facility. Other providers utilize </w:t>
      </w:r>
      <w:r w:rsidR="007F6E2B">
        <w:t>a mobile team concept,</w:t>
      </w:r>
      <w:r w:rsidR="008B5BD9">
        <w:t xml:space="preserve"> traveling to the client</w:t>
      </w:r>
      <w:r w:rsidR="005360DE">
        <w:t>.</w:t>
      </w:r>
      <w:r w:rsidR="005D4859">
        <w:t xml:space="preserve"> </w:t>
      </w:r>
      <w:r w:rsidR="001D1378">
        <w:t>These p</w:t>
      </w:r>
      <w:r w:rsidR="005360DE">
        <w:t>roviders such as</w:t>
      </w:r>
      <w:r w:rsidR="00EE5A11">
        <w:t xml:space="preserve"> </w:t>
      </w:r>
      <w:r w:rsidR="0077250F">
        <w:t xml:space="preserve">Assertive </w:t>
      </w:r>
      <w:r w:rsidR="00316B62">
        <w:t>Community Teams</w:t>
      </w:r>
      <w:r w:rsidR="006A0F6F">
        <w:t xml:space="preserve"> (ACT) </w:t>
      </w:r>
      <w:r w:rsidR="005360DE">
        <w:t>offer intensive outpatient services for extended per</w:t>
      </w:r>
      <w:r w:rsidR="001D1378">
        <w:t>iods of time. Other team</w:t>
      </w:r>
      <w:r w:rsidR="005360DE">
        <w:t xml:space="preserve"> providers especially those </w:t>
      </w:r>
      <w:r w:rsidR="00316B62">
        <w:t xml:space="preserve">associated with the Albuquerque Police Department (i.e., </w:t>
      </w:r>
      <w:r w:rsidR="00BB5319">
        <w:t xml:space="preserve">Crisis Intervention Team “CIT”, and </w:t>
      </w:r>
      <w:r w:rsidR="00BB5319" w:rsidRPr="00BB5319">
        <w:t xml:space="preserve">Crisis Outreach and Support Team </w:t>
      </w:r>
      <w:r w:rsidR="00BB5319">
        <w:t>“COAST”)</w:t>
      </w:r>
      <w:r w:rsidR="005360DE">
        <w:t xml:space="preserve"> fi</w:t>
      </w:r>
      <w:r w:rsidR="001D1378">
        <w:t>ll a need for early responses in</w:t>
      </w:r>
      <w:r w:rsidR="005360DE">
        <w:t xml:space="preserve"> emergency situations</w:t>
      </w:r>
      <w:r w:rsidR="001D1378">
        <w:t>.</w:t>
      </w:r>
      <w:r w:rsidR="00C60365">
        <w:t xml:space="preserve"> </w:t>
      </w:r>
      <w:r w:rsidR="006A5556">
        <w:t>Providers located in facilities and mobile police crisis teams reach specific segments of the population that is either willing to go to a mental health facility for services or are involved in an emergency men</w:t>
      </w:r>
      <w:r w:rsidR="00EF306F">
        <w:t>tal health situation. Y</w:t>
      </w:r>
      <w:r w:rsidR="006A5556">
        <w:t>et another portion of the</w:t>
      </w:r>
      <w:r w:rsidR="00EF306F">
        <w:t xml:space="preserve"> population</w:t>
      </w:r>
      <w:r w:rsidR="006A5556">
        <w:t xml:space="preserve"> is unable or reluctant to </w:t>
      </w:r>
      <w:r w:rsidR="00EF306F">
        <w:t>seek mental health services. These people are not willing to go to a</w:t>
      </w:r>
      <w:r w:rsidR="00C42511">
        <w:t xml:space="preserve"> facility such as PES and they are subacute in terms of the urgency of their mental health crisis. Thus they do not take advantage of the PES services and they do not come to the attention of the CIT or COAST.</w:t>
      </w:r>
    </w:p>
    <w:p w14:paraId="129B16EB" w14:textId="77777777" w:rsidR="00FB1958" w:rsidRDefault="000436EE" w:rsidP="006F2EBB">
      <w:r>
        <w:t>Funding for intensive outpatient programs is expensive and consistent funding is difficult to acquire and difficult to maintain. Consistent funding for innovative team concepts is difficult to obtain and keep. Most teams are financed with public funds. Some teams are piloted using limited fun</w:t>
      </w:r>
      <w:r w:rsidR="003566BF">
        <w:t xml:space="preserve">ding from grants-in-aid and later may </w:t>
      </w:r>
      <w:r>
        <w:t xml:space="preserve">acquire recurring </w:t>
      </w:r>
      <w:r w:rsidR="00B45752">
        <w:t>government funding if the</w:t>
      </w:r>
      <w:r w:rsidR="006B12E8">
        <w:t>y are shown to be successful or</w:t>
      </w:r>
      <w:r w:rsidR="00B45752">
        <w:t xml:space="preserve"> politically</w:t>
      </w:r>
      <w:r w:rsidR="006B12E8">
        <w:t xml:space="preserve"> popular.</w:t>
      </w:r>
      <w:r w:rsidR="003566BF">
        <w:t xml:space="preserve"> </w:t>
      </w:r>
      <w:r w:rsidR="0057544F">
        <w:t xml:space="preserve">The recent election and ensuing changes to Medicaid are difficult to </w:t>
      </w:r>
      <w:r w:rsidR="00FB1958">
        <w:t>identify at the writing of this proposal.</w:t>
      </w:r>
    </w:p>
    <w:p w14:paraId="555C3BF9" w14:textId="62F01C61" w:rsidR="00D02159" w:rsidRPr="00FB1958" w:rsidRDefault="003566BF" w:rsidP="005C221D">
      <w:r>
        <w:t xml:space="preserve">Programs </w:t>
      </w:r>
      <w:r w:rsidR="00321F3A">
        <w:t xml:space="preserve">and services </w:t>
      </w:r>
      <w:r>
        <w:t xml:space="preserve">such as PES, ACT, CIT, and COAST have found a niche in the community. They have access to </w:t>
      </w:r>
      <w:r w:rsidR="00FB1958">
        <w:t>funding,</w:t>
      </w:r>
      <w:r w:rsidR="0057544F">
        <w:t xml:space="preserve"> </w:t>
      </w:r>
      <w:r>
        <w:t>an adequate number of clients</w:t>
      </w:r>
      <w:r w:rsidR="00FB1958">
        <w:t>,</w:t>
      </w:r>
      <w:r>
        <w:t xml:space="preserve"> and have been functioning long enough </w:t>
      </w:r>
      <w:r w:rsidR="0057544F">
        <w:t xml:space="preserve">to be </w:t>
      </w:r>
      <w:r>
        <w:t xml:space="preserve">established </w:t>
      </w:r>
      <w:r w:rsidR="0057544F">
        <w:t>in the community. New</w:t>
      </w:r>
      <w:r>
        <w:t xml:space="preserve"> providers attempting to reach a segment of the population that is not being served by PES or the police teams</w:t>
      </w:r>
      <w:r w:rsidR="0057544F">
        <w:t>,</w:t>
      </w:r>
      <w:r>
        <w:t xml:space="preserve"> may initially need to </w:t>
      </w:r>
      <w:r w:rsidR="0057544F">
        <w:t xml:space="preserve">connect with those teams </w:t>
      </w:r>
      <w:r>
        <w:t>to become established.</w:t>
      </w:r>
    </w:p>
    <w:p w14:paraId="3A49F31F" w14:textId="77777777" w:rsidR="00FB1958" w:rsidRDefault="00FB1958" w:rsidP="008D1467">
      <w:pPr>
        <w:rPr>
          <w:rFonts w:ascii="Helvetica" w:hAnsi="Helvetica" w:cs="Times New Roman"/>
          <w:sz w:val="16"/>
          <w:szCs w:val="24"/>
        </w:rPr>
      </w:pPr>
    </w:p>
    <w:p w14:paraId="1693AC95" w14:textId="302F16B5" w:rsidR="008D1467" w:rsidRPr="000A51A7" w:rsidRDefault="008D1467" w:rsidP="008D1467">
      <w:pPr>
        <w:rPr>
          <w:rFonts w:ascii="Helvetica" w:hAnsi="Helvetica" w:cs="Times New Roman"/>
          <w:sz w:val="16"/>
          <w:szCs w:val="24"/>
        </w:rPr>
      </w:pPr>
      <w:r w:rsidRPr="000A51A7">
        <w:rPr>
          <w:rFonts w:ascii="Helvetica" w:hAnsi="Helvetica" w:cs="Times New Roman"/>
          <w:sz w:val="16"/>
          <w:szCs w:val="24"/>
        </w:rPr>
        <w:t xml:space="preserve">UNM Department of Psychiatry and Behavioral Sciences, UNM Center for Education on Policy and Research, and RWJF Center for Health Policy at UNM. (2014) Landscape of Behavioral Health in Albuquerque. </w:t>
      </w:r>
      <w:r w:rsidR="000A51A7" w:rsidRPr="000A51A7">
        <w:rPr>
          <w:rFonts w:ascii="Helvetica" w:hAnsi="Helvetica" w:cs="Times New Roman"/>
          <w:sz w:val="16"/>
          <w:szCs w:val="24"/>
        </w:rPr>
        <w:t>Online at https://www.cabq.gov/council/documents/task-force-on-mental-health-documents/BHTF_20141028CityProjectReportFinal.pdf</w:t>
      </w:r>
      <w:r w:rsidRPr="000A51A7">
        <w:rPr>
          <w:rFonts w:ascii="Helvetica" w:hAnsi="Helvetica" w:cs="Times New Roman"/>
          <w:sz w:val="16"/>
          <w:szCs w:val="24"/>
        </w:rPr>
        <w:t xml:space="preserve"> </w:t>
      </w:r>
    </w:p>
    <w:p w14:paraId="47DBF55E" w14:textId="77777777" w:rsidR="005C221D" w:rsidRPr="005C221D" w:rsidRDefault="005C221D" w:rsidP="005C221D">
      <w:pPr>
        <w:rPr>
          <w:rFonts w:ascii="Times New Roman" w:hAnsi="Times New Roman" w:cs="Times New Roman"/>
          <w:i/>
          <w:sz w:val="24"/>
          <w:szCs w:val="24"/>
        </w:rPr>
        <w:sectPr w:rsidR="005C221D" w:rsidRPr="005C221D">
          <w:pgSz w:w="12240" w:h="15840"/>
          <w:pgMar w:top="1440" w:right="1440" w:bottom="1440" w:left="1440" w:header="720" w:footer="720" w:gutter="0"/>
          <w:cols w:space="720"/>
          <w:docGrid w:linePitch="360"/>
        </w:sectPr>
      </w:pPr>
    </w:p>
    <w:p w14:paraId="5C610225" w14:textId="77777777" w:rsidR="009573B6" w:rsidRPr="009573B6" w:rsidRDefault="009573B6"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w:t>
      </w:r>
      <w:r w:rsidR="005C221D">
        <w:rPr>
          <w:rFonts w:ascii="Times New Roman" w:hAnsi="Times New Roman" w:cs="Times New Roman"/>
          <w:b/>
          <w:sz w:val="24"/>
          <w:szCs w:val="24"/>
        </w:rPr>
        <w:t>ECTION 3</w:t>
      </w:r>
      <w:r>
        <w:rPr>
          <w:rFonts w:ascii="Times New Roman" w:hAnsi="Times New Roman" w:cs="Times New Roman"/>
          <w:b/>
          <w:sz w:val="24"/>
          <w:szCs w:val="24"/>
        </w:rPr>
        <w:t>: Target Population</w:t>
      </w:r>
    </w:p>
    <w:p w14:paraId="647218AF" w14:textId="458B0A73" w:rsidR="005A4EBA" w:rsidRPr="005C5F7E" w:rsidRDefault="005A4EBA" w:rsidP="005A4EBA">
      <w:pPr>
        <w:rPr>
          <w:rFonts w:cs="Arial"/>
        </w:rPr>
      </w:pPr>
      <w:r w:rsidRPr="005C5F7E">
        <w:rPr>
          <w:rFonts w:cs="Arial"/>
        </w:rPr>
        <w:t>Currently, the target population for the CET cannot be definitively established. The possible population of people who may benefit from CET services can be estimated in a variety of ways. The broadest population can be estimated using population estimates of all people in the community with mental health difficulties. SAMHSA estimates the prevalence of people in Bernalillo county with mental health problems in one year is approximately 136 people per 1,000 aged over 18 per one year (SAMHSA, 2014).</w:t>
      </w:r>
    </w:p>
    <w:p w14:paraId="0829CC9E" w14:textId="77777777" w:rsidR="005A4EBA" w:rsidRPr="005C5F7E" w:rsidRDefault="005A4EBA" w:rsidP="005A4EBA">
      <w:pPr>
        <w:rPr>
          <w:rFonts w:cs="Arial"/>
        </w:rPr>
      </w:pPr>
      <w:r w:rsidRPr="005C5F7E">
        <w:rPr>
          <w:rFonts w:cs="Arial"/>
        </w:rPr>
        <w:t>More specific estimates can be derived from individuals contacting the NM Crisis Access Line (NMCAL)individuals who come in contact with APD’s Crisis Intervention Unit (CIU) and Crisis Outreach and Support Team (COAST), 911 calls that are for mental health that are not related to a crime, hospital emergency room and psychiatric emergency service contacts that do not require emergency treatment, and families and individuals who are seeking help. Currently data from all these sources either is not available or does not exist to provide an estimate. NMCAL handles approximately 1,400 calls per month statewide and approximately 35% of these calls originate in Bernalillo County. CET could respond to “routine calls” and likely handle “urgent calls.”</w:t>
      </w:r>
      <w:r w:rsidRPr="005C5F7E">
        <w:rPr>
          <w:rFonts w:cs="Arial"/>
          <w:vertAlign w:val="superscript"/>
        </w:rPr>
        <w:footnoteReference w:id="1"/>
      </w:r>
      <w:r w:rsidRPr="005C5F7E">
        <w:rPr>
          <w:rFonts w:cs="Arial"/>
        </w:rPr>
        <w:t xml:space="preserve"> We estimate this to be an average of 500 calls per month for individuals 18 years of age and older. People from both call levels may possibly seek a rapid response to an event from the CET. </w:t>
      </w:r>
    </w:p>
    <w:p w14:paraId="34F1D157" w14:textId="133CA7F9" w:rsidR="00A716A3" w:rsidRDefault="005A4EBA" w:rsidP="005A4EBA">
      <w:pPr>
        <w:rPr>
          <w:rFonts w:cs="Arial"/>
        </w:rPr>
      </w:pPr>
      <w:r w:rsidRPr="005C5F7E">
        <w:rPr>
          <w:rFonts w:cs="Arial"/>
        </w:rPr>
        <w:t xml:space="preserve">Preliminary data from the UNM Psychiatric Center Psychiatric Emergency Services (PES) suggests that a segment of individuals who present to the PES or Psychiatric Urgent Care Center (PUCC) may be eligible for CET services.  This primarily includes individuals who have a lower acuity level </w:t>
      </w:r>
      <w:r w:rsidR="00BE460F">
        <w:rPr>
          <w:rFonts w:cs="Arial"/>
        </w:rPr>
        <w:t xml:space="preserve">assessed </w:t>
      </w:r>
      <w:r w:rsidRPr="005C5F7E">
        <w:rPr>
          <w:rFonts w:cs="Arial"/>
        </w:rPr>
        <w:t>upon arrival.  In discussions with PES staff</w:t>
      </w:r>
      <w:r w:rsidR="00A716A3">
        <w:rPr>
          <w:rFonts w:cs="Arial"/>
        </w:rPr>
        <w:t>,</w:t>
      </w:r>
      <w:r w:rsidRPr="005C5F7E">
        <w:rPr>
          <w:rFonts w:cs="Arial"/>
        </w:rPr>
        <w:t xml:space="preserve"> individuals who present with a Level I or Level II acuity level and who are not eligible for PES services may be eligible.  Table 1 provides an estimate for Level I and Level II clients.</w:t>
      </w:r>
    </w:p>
    <w:p w14:paraId="469B711C" w14:textId="16F0F4F3" w:rsidR="005A4EBA" w:rsidRPr="005C5F7E" w:rsidRDefault="00BE460F" w:rsidP="005A4EBA">
      <w:pPr>
        <w:rPr>
          <w:rFonts w:cs="Arial"/>
        </w:rPr>
      </w:pPr>
      <w:r>
        <w:rPr>
          <w:rFonts w:cs="Arial"/>
        </w:rPr>
        <w:t>The estimate shown in Table 1 is the average number of individuals by each time period (calendar year 2015 and January 2016 – October 2016) and the average number of individuals for the entire time period who were assessed by PES as being Acuity Level I and Acuity Level II. Based on our review, for the time period of January 2015 through October 2016 there were an average of 18.1 individuals per month assessed as Acuity Level I and 30.1 individuals per month assessed as Acuity Level II.</w:t>
      </w:r>
    </w:p>
    <w:p w14:paraId="544F235A" w14:textId="77777777" w:rsidR="005A4EBA" w:rsidRPr="005C5F7E" w:rsidRDefault="005A4EBA" w:rsidP="005A4EBA">
      <w:pPr>
        <w:spacing w:after="0"/>
        <w:rPr>
          <w:rFonts w:cs="Arial"/>
        </w:rPr>
      </w:pPr>
      <w:r w:rsidRPr="005C5F7E">
        <w:rPr>
          <w:rFonts w:cs="Arial"/>
        </w:rPr>
        <w:t>Table 1 – PES Acuity Level</w:t>
      </w:r>
    </w:p>
    <w:tbl>
      <w:tblPr>
        <w:tblStyle w:val="TableGrid"/>
        <w:tblW w:w="0" w:type="auto"/>
        <w:tblLook w:val="04A0" w:firstRow="1" w:lastRow="0" w:firstColumn="1" w:lastColumn="0" w:noHBand="0" w:noVBand="1"/>
      </w:tblPr>
      <w:tblGrid>
        <w:gridCol w:w="1525"/>
        <w:gridCol w:w="1260"/>
        <w:gridCol w:w="1980"/>
        <w:gridCol w:w="1260"/>
      </w:tblGrid>
      <w:tr w:rsidR="009F0322" w14:paraId="4270432A" w14:textId="77777777" w:rsidTr="009F0322">
        <w:trPr>
          <w:trHeight w:val="288"/>
        </w:trPr>
        <w:tc>
          <w:tcPr>
            <w:tcW w:w="1525" w:type="dxa"/>
            <w:vAlign w:val="center"/>
          </w:tcPr>
          <w:p w14:paraId="40ECE324" w14:textId="45CA1A13" w:rsidR="009F0322" w:rsidRPr="009F0322" w:rsidRDefault="009F0322" w:rsidP="009F0322">
            <w:pPr>
              <w:spacing w:after="0"/>
              <w:jc w:val="center"/>
              <w:rPr>
                <w:rFonts w:cs="Arial"/>
                <w:b/>
                <w:sz w:val="18"/>
              </w:rPr>
            </w:pPr>
            <w:r w:rsidRPr="009F0322">
              <w:rPr>
                <w:rFonts w:cs="Arial"/>
                <w:b/>
                <w:sz w:val="18"/>
              </w:rPr>
              <w:t>Acuity Level</w:t>
            </w:r>
          </w:p>
        </w:tc>
        <w:tc>
          <w:tcPr>
            <w:tcW w:w="1260" w:type="dxa"/>
            <w:vAlign w:val="center"/>
          </w:tcPr>
          <w:p w14:paraId="5AD2A4E8" w14:textId="75571E25" w:rsidR="009F0322" w:rsidRPr="009F0322" w:rsidRDefault="009F0322" w:rsidP="009F0322">
            <w:pPr>
              <w:spacing w:after="0"/>
              <w:jc w:val="center"/>
              <w:rPr>
                <w:rFonts w:cs="Arial"/>
                <w:b/>
                <w:sz w:val="18"/>
              </w:rPr>
            </w:pPr>
            <w:r w:rsidRPr="009F0322">
              <w:rPr>
                <w:rFonts w:cs="Arial"/>
                <w:b/>
                <w:sz w:val="18"/>
              </w:rPr>
              <w:t>2015</w:t>
            </w:r>
          </w:p>
        </w:tc>
        <w:tc>
          <w:tcPr>
            <w:tcW w:w="1980" w:type="dxa"/>
            <w:vAlign w:val="center"/>
          </w:tcPr>
          <w:p w14:paraId="5E0D4766" w14:textId="2A2C6A14" w:rsidR="009F0322" w:rsidRPr="009F0322" w:rsidRDefault="009F0322" w:rsidP="009F0322">
            <w:pPr>
              <w:spacing w:after="0"/>
              <w:jc w:val="center"/>
              <w:rPr>
                <w:rFonts w:cs="Arial"/>
                <w:b/>
                <w:sz w:val="18"/>
              </w:rPr>
            </w:pPr>
            <w:r w:rsidRPr="009F0322">
              <w:rPr>
                <w:rFonts w:cs="Arial"/>
                <w:b/>
                <w:sz w:val="18"/>
              </w:rPr>
              <w:t>2016 (thru October)</w:t>
            </w:r>
          </w:p>
        </w:tc>
        <w:tc>
          <w:tcPr>
            <w:tcW w:w="1260" w:type="dxa"/>
            <w:vAlign w:val="center"/>
          </w:tcPr>
          <w:p w14:paraId="3E78FC35" w14:textId="04EE45D4" w:rsidR="009F0322" w:rsidRPr="009F0322" w:rsidRDefault="009F0322" w:rsidP="009F0322">
            <w:pPr>
              <w:spacing w:after="0"/>
              <w:jc w:val="center"/>
              <w:rPr>
                <w:rFonts w:cs="Arial"/>
                <w:b/>
                <w:sz w:val="18"/>
              </w:rPr>
            </w:pPr>
            <w:r w:rsidRPr="009F0322">
              <w:rPr>
                <w:rFonts w:cs="Arial"/>
                <w:b/>
                <w:sz w:val="18"/>
              </w:rPr>
              <w:t>Total</w:t>
            </w:r>
          </w:p>
        </w:tc>
      </w:tr>
      <w:tr w:rsidR="009F0322" w14:paraId="6F60B11C" w14:textId="77777777" w:rsidTr="009F0322">
        <w:trPr>
          <w:trHeight w:val="144"/>
        </w:trPr>
        <w:tc>
          <w:tcPr>
            <w:tcW w:w="1525" w:type="dxa"/>
            <w:vAlign w:val="center"/>
          </w:tcPr>
          <w:p w14:paraId="67CD67CA" w14:textId="584A4E1C" w:rsidR="009F0322" w:rsidRPr="009F0322" w:rsidRDefault="009F0322" w:rsidP="009F0322">
            <w:pPr>
              <w:spacing w:after="0"/>
              <w:jc w:val="center"/>
              <w:rPr>
                <w:rFonts w:cs="Arial"/>
                <w:sz w:val="16"/>
              </w:rPr>
            </w:pPr>
            <w:r w:rsidRPr="009F0322">
              <w:rPr>
                <w:rFonts w:cs="Arial"/>
                <w:sz w:val="16"/>
              </w:rPr>
              <w:t>Level I</w:t>
            </w:r>
          </w:p>
        </w:tc>
        <w:tc>
          <w:tcPr>
            <w:tcW w:w="1260" w:type="dxa"/>
            <w:vAlign w:val="center"/>
          </w:tcPr>
          <w:p w14:paraId="4E139FCD" w14:textId="35A37BDD" w:rsidR="009F0322" w:rsidRPr="009F0322" w:rsidRDefault="009F0322" w:rsidP="009F0322">
            <w:pPr>
              <w:spacing w:after="0"/>
              <w:jc w:val="center"/>
              <w:rPr>
                <w:rFonts w:cs="Arial"/>
                <w:sz w:val="16"/>
              </w:rPr>
            </w:pPr>
            <w:r w:rsidRPr="009F0322">
              <w:rPr>
                <w:rFonts w:cs="Arial"/>
                <w:sz w:val="16"/>
              </w:rPr>
              <w:t>20.4</w:t>
            </w:r>
          </w:p>
        </w:tc>
        <w:tc>
          <w:tcPr>
            <w:tcW w:w="1980" w:type="dxa"/>
            <w:vAlign w:val="center"/>
          </w:tcPr>
          <w:p w14:paraId="61E65922" w14:textId="5BD39225" w:rsidR="009F0322" w:rsidRPr="009F0322" w:rsidRDefault="009F0322" w:rsidP="009F0322">
            <w:pPr>
              <w:spacing w:after="0"/>
              <w:jc w:val="center"/>
              <w:rPr>
                <w:rFonts w:cs="Arial"/>
                <w:sz w:val="16"/>
              </w:rPr>
            </w:pPr>
            <w:r w:rsidRPr="009F0322">
              <w:rPr>
                <w:rFonts w:cs="Arial"/>
                <w:sz w:val="16"/>
              </w:rPr>
              <w:t>15.4</w:t>
            </w:r>
          </w:p>
        </w:tc>
        <w:tc>
          <w:tcPr>
            <w:tcW w:w="1260" w:type="dxa"/>
            <w:vAlign w:val="center"/>
          </w:tcPr>
          <w:p w14:paraId="5CF64923" w14:textId="5E9A6C82" w:rsidR="009F0322" w:rsidRPr="009F0322" w:rsidRDefault="009F0322" w:rsidP="009F0322">
            <w:pPr>
              <w:spacing w:after="0"/>
              <w:jc w:val="center"/>
              <w:rPr>
                <w:rFonts w:cs="Arial"/>
                <w:sz w:val="16"/>
              </w:rPr>
            </w:pPr>
            <w:r w:rsidRPr="009F0322">
              <w:rPr>
                <w:rFonts w:cs="Arial"/>
                <w:sz w:val="16"/>
              </w:rPr>
              <w:t>18.1</w:t>
            </w:r>
          </w:p>
        </w:tc>
      </w:tr>
      <w:tr w:rsidR="009F0322" w14:paraId="53DB0A24" w14:textId="77777777" w:rsidTr="009F0322">
        <w:trPr>
          <w:trHeight w:val="144"/>
        </w:trPr>
        <w:tc>
          <w:tcPr>
            <w:tcW w:w="1525" w:type="dxa"/>
            <w:vAlign w:val="center"/>
          </w:tcPr>
          <w:p w14:paraId="6B776080" w14:textId="6541939C" w:rsidR="009F0322" w:rsidRPr="009F0322" w:rsidRDefault="009F0322" w:rsidP="009F0322">
            <w:pPr>
              <w:spacing w:after="0"/>
              <w:jc w:val="center"/>
              <w:rPr>
                <w:rFonts w:cs="Arial"/>
                <w:sz w:val="16"/>
              </w:rPr>
            </w:pPr>
            <w:r w:rsidRPr="009F0322">
              <w:rPr>
                <w:rFonts w:cs="Arial"/>
                <w:sz w:val="16"/>
              </w:rPr>
              <w:t>Level II</w:t>
            </w:r>
          </w:p>
        </w:tc>
        <w:tc>
          <w:tcPr>
            <w:tcW w:w="1260" w:type="dxa"/>
            <w:vAlign w:val="center"/>
          </w:tcPr>
          <w:p w14:paraId="5DBE0CE7" w14:textId="1FC8C674" w:rsidR="009F0322" w:rsidRPr="009F0322" w:rsidRDefault="009F0322" w:rsidP="009F0322">
            <w:pPr>
              <w:spacing w:after="0"/>
              <w:jc w:val="center"/>
              <w:rPr>
                <w:rFonts w:cs="Arial"/>
                <w:sz w:val="16"/>
              </w:rPr>
            </w:pPr>
            <w:r w:rsidRPr="009F0322">
              <w:rPr>
                <w:rFonts w:cs="Arial"/>
                <w:sz w:val="16"/>
              </w:rPr>
              <w:t>55.3</w:t>
            </w:r>
          </w:p>
        </w:tc>
        <w:tc>
          <w:tcPr>
            <w:tcW w:w="1980" w:type="dxa"/>
            <w:vAlign w:val="center"/>
          </w:tcPr>
          <w:p w14:paraId="5F01E43D" w14:textId="74721080" w:rsidR="009F0322" w:rsidRPr="009F0322" w:rsidRDefault="009F0322" w:rsidP="009F0322">
            <w:pPr>
              <w:spacing w:after="0"/>
              <w:jc w:val="center"/>
              <w:rPr>
                <w:rFonts w:cs="Arial"/>
                <w:sz w:val="16"/>
              </w:rPr>
            </w:pPr>
            <w:r w:rsidRPr="009F0322">
              <w:rPr>
                <w:rFonts w:cs="Arial"/>
                <w:sz w:val="16"/>
              </w:rPr>
              <w:t>33.4</w:t>
            </w:r>
          </w:p>
        </w:tc>
        <w:tc>
          <w:tcPr>
            <w:tcW w:w="1260" w:type="dxa"/>
            <w:vAlign w:val="center"/>
          </w:tcPr>
          <w:p w14:paraId="669DEEB2" w14:textId="56EFFFD3" w:rsidR="009F0322" w:rsidRPr="009F0322" w:rsidRDefault="009F0322" w:rsidP="009F0322">
            <w:pPr>
              <w:spacing w:after="0"/>
              <w:jc w:val="center"/>
              <w:rPr>
                <w:rFonts w:cs="Arial"/>
                <w:sz w:val="16"/>
              </w:rPr>
            </w:pPr>
            <w:r w:rsidRPr="009F0322">
              <w:rPr>
                <w:rFonts w:cs="Arial"/>
                <w:sz w:val="16"/>
              </w:rPr>
              <w:t>30.1</w:t>
            </w:r>
          </w:p>
        </w:tc>
      </w:tr>
      <w:tr w:rsidR="009F0322" w14:paraId="29E80568" w14:textId="77777777" w:rsidTr="009F0322">
        <w:trPr>
          <w:trHeight w:val="144"/>
        </w:trPr>
        <w:tc>
          <w:tcPr>
            <w:tcW w:w="1525" w:type="dxa"/>
            <w:vAlign w:val="center"/>
          </w:tcPr>
          <w:p w14:paraId="1520DB00" w14:textId="50362F46" w:rsidR="009F0322" w:rsidRPr="009F0322" w:rsidRDefault="009F0322" w:rsidP="009F0322">
            <w:pPr>
              <w:spacing w:after="0"/>
              <w:jc w:val="center"/>
              <w:rPr>
                <w:rFonts w:cs="Arial"/>
                <w:sz w:val="16"/>
              </w:rPr>
            </w:pPr>
            <w:r w:rsidRPr="009F0322">
              <w:rPr>
                <w:rFonts w:cs="Arial"/>
                <w:sz w:val="16"/>
              </w:rPr>
              <w:t>Total</w:t>
            </w:r>
          </w:p>
        </w:tc>
        <w:tc>
          <w:tcPr>
            <w:tcW w:w="1260" w:type="dxa"/>
            <w:vAlign w:val="center"/>
          </w:tcPr>
          <w:p w14:paraId="287E5343" w14:textId="49C0604E" w:rsidR="009F0322" w:rsidRPr="009F0322" w:rsidRDefault="009F0322" w:rsidP="009F0322">
            <w:pPr>
              <w:spacing w:after="0"/>
              <w:jc w:val="center"/>
              <w:rPr>
                <w:rFonts w:cs="Arial"/>
                <w:sz w:val="16"/>
              </w:rPr>
            </w:pPr>
            <w:r w:rsidRPr="009F0322">
              <w:rPr>
                <w:rFonts w:cs="Arial"/>
                <w:sz w:val="16"/>
              </w:rPr>
              <w:t>75.7</w:t>
            </w:r>
          </w:p>
        </w:tc>
        <w:tc>
          <w:tcPr>
            <w:tcW w:w="1980" w:type="dxa"/>
            <w:vAlign w:val="center"/>
          </w:tcPr>
          <w:p w14:paraId="114CF707" w14:textId="743B5BF0" w:rsidR="009F0322" w:rsidRPr="009F0322" w:rsidRDefault="009F0322" w:rsidP="009F0322">
            <w:pPr>
              <w:spacing w:after="0"/>
              <w:jc w:val="center"/>
              <w:rPr>
                <w:rFonts w:cs="Arial"/>
                <w:sz w:val="16"/>
              </w:rPr>
            </w:pPr>
            <w:r w:rsidRPr="009F0322">
              <w:rPr>
                <w:rFonts w:cs="Arial"/>
                <w:sz w:val="16"/>
              </w:rPr>
              <w:t>48.8</w:t>
            </w:r>
          </w:p>
        </w:tc>
        <w:tc>
          <w:tcPr>
            <w:tcW w:w="1260" w:type="dxa"/>
            <w:vAlign w:val="center"/>
          </w:tcPr>
          <w:p w14:paraId="50AD782C" w14:textId="77777777" w:rsidR="009F0322" w:rsidRPr="009F0322" w:rsidRDefault="009F0322" w:rsidP="009F0322">
            <w:pPr>
              <w:spacing w:after="0"/>
              <w:jc w:val="center"/>
              <w:rPr>
                <w:rFonts w:cs="Arial"/>
                <w:sz w:val="16"/>
              </w:rPr>
            </w:pPr>
          </w:p>
        </w:tc>
      </w:tr>
    </w:tbl>
    <w:p w14:paraId="1904BA40" w14:textId="77777777" w:rsidR="009F0322" w:rsidRPr="005C5F7E" w:rsidRDefault="009F0322" w:rsidP="005A4EBA">
      <w:pPr>
        <w:spacing w:after="0"/>
        <w:rPr>
          <w:rFonts w:cs="Arial"/>
        </w:rPr>
      </w:pPr>
    </w:p>
    <w:p w14:paraId="4DA02B35" w14:textId="6640414D" w:rsidR="005A4EBA" w:rsidRPr="005C5F7E" w:rsidRDefault="005A4EBA" w:rsidP="005A4EBA">
      <w:pPr>
        <w:spacing w:after="0"/>
        <w:rPr>
          <w:rFonts w:cs="Arial"/>
        </w:rPr>
      </w:pPr>
      <w:r w:rsidRPr="005C5F7E">
        <w:rPr>
          <w:rFonts w:cs="Arial"/>
        </w:rPr>
        <w:lastRenderedPageBreak/>
        <w:t>Some preliminary data is also available using APD CIT related data and Bernalillo County Sh</w:t>
      </w:r>
      <w:r w:rsidR="009F0322">
        <w:rPr>
          <w:rFonts w:cs="Arial"/>
        </w:rPr>
        <w:t>eriff’s Department (BCSD) data.</w:t>
      </w:r>
      <w:r w:rsidRPr="005C5F7E">
        <w:rPr>
          <w:rFonts w:cs="Arial"/>
        </w:rPr>
        <w:t xml:space="preserve"> The data provided by APD showed that between January 2016 and October 2016 of 2,064 CIT related incidents reported by APD field officers 1,606 (51.6%) were transported to area hospitals that includes UNM’s PES. It is not known what portion of these calls woul</w:t>
      </w:r>
      <w:r w:rsidR="009F0322">
        <w:rPr>
          <w:rFonts w:cs="Arial"/>
        </w:rPr>
        <w:t xml:space="preserve">d be eligible for CET services. APD also provided COAST data. </w:t>
      </w:r>
      <w:r w:rsidRPr="005C5F7E">
        <w:rPr>
          <w:rFonts w:cs="Arial"/>
        </w:rPr>
        <w:t>Between January 2016 and October 2016 COAST assisted 300 unique mental health consumers and COAST staff contacted 1,049 individuals that were not th</w:t>
      </w:r>
      <w:r w:rsidR="009F0322">
        <w:rPr>
          <w:rFonts w:cs="Arial"/>
        </w:rPr>
        <w:t>e result of a call for service.</w:t>
      </w:r>
      <w:r w:rsidRPr="005C5F7E">
        <w:rPr>
          <w:rFonts w:cs="Arial"/>
        </w:rPr>
        <w:t xml:space="preserve"> COAST staff also contacted 348 individuals who were </w:t>
      </w:r>
      <w:r w:rsidR="009F0322">
        <w:rPr>
          <w:rFonts w:cs="Arial"/>
        </w:rPr>
        <w:t xml:space="preserve">originally a call for service. </w:t>
      </w:r>
      <w:r w:rsidRPr="005C5F7E">
        <w:rPr>
          <w:rFonts w:cs="Arial"/>
        </w:rPr>
        <w:t>According to APD, COAST’s primary objective is to safely resolve the behavioral health crisis causing police interaction by referring the individual with behavioral health disorder or in behavioral health crisis, to profes</w:t>
      </w:r>
      <w:r w:rsidR="009F0322">
        <w:rPr>
          <w:rFonts w:cs="Arial"/>
        </w:rPr>
        <w:t>sional mental health services.</w:t>
      </w:r>
    </w:p>
    <w:p w14:paraId="14A65C02" w14:textId="77777777" w:rsidR="005A4EBA" w:rsidRPr="005C5F7E" w:rsidRDefault="005A4EBA" w:rsidP="005A4EBA">
      <w:pPr>
        <w:spacing w:after="0"/>
        <w:rPr>
          <w:rFonts w:cs="Arial"/>
        </w:rPr>
      </w:pPr>
    </w:p>
    <w:p w14:paraId="4D2484B4" w14:textId="021CBB97" w:rsidR="005A4EBA" w:rsidRPr="005C5F7E" w:rsidRDefault="005A4EBA" w:rsidP="005A4EBA">
      <w:pPr>
        <w:spacing w:after="0"/>
        <w:rPr>
          <w:rFonts w:cs="Arial"/>
        </w:rPr>
      </w:pPr>
      <w:r w:rsidRPr="005C5F7E">
        <w:rPr>
          <w:rFonts w:cs="Arial"/>
        </w:rPr>
        <w:t>Using BCSD data from March 2015 through March 2016 there were 506 (average 38.9 a month) mental patient calls and 349 (average 26.8 a month) suicide threat calls. While we don’t know the final disposition of these calls there is no reason to believe, that similar to APD, a portion of these calls would be eligible for CET. Following this rationale, we believe that less than 50% of these calls might be eligible for CET.</w:t>
      </w:r>
    </w:p>
    <w:p w14:paraId="2B8FB5F3" w14:textId="3D2439C6" w:rsidR="004054D2" w:rsidRDefault="004054D2" w:rsidP="00D67C90"/>
    <w:p w14:paraId="792972EF" w14:textId="4343FC46" w:rsidR="00D67C90" w:rsidRPr="00AE0C91" w:rsidRDefault="00D67C90" w:rsidP="00D67C90">
      <w:pPr>
        <w:rPr>
          <w:rFonts w:ascii="Helvetica" w:hAnsi="Helvetica"/>
          <w:sz w:val="16"/>
        </w:rPr>
      </w:pPr>
      <w:r w:rsidRPr="00AE0C91">
        <w:rPr>
          <w:rFonts w:ascii="Helvetica" w:hAnsi="Helvetica"/>
          <w:sz w:val="16"/>
        </w:rPr>
        <w:t>SAMHSA. (2014). Center for Behavioral Health Statistics and Quality, National Survey on Drug Use and Health, 2012, 2013, and 2014.</w:t>
      </w:r>
    </w:p>
    <w:p w14:paraId="462B27EB" w14:textId="77777777" w:rsidR="00D67C90" w:rsidRPr="00AE0C91" w:rsidRDefault="00D67C90" w:rsidP="00D67C90">
      <w:pPr>
        <w:rPr>
          <w:rFonts w:ascii="Helvetica" w:hAnsi="Helvetica"/>
          <w:sz w:val="20"/>
        </w:rPr>
      </w:pPr>
      <w:r w:rsidRPr="00AE0C91">
        <w:rPr>
          <w:rFonts w:ascii="Helvetica" w:hAnsi="Helvetica"/>
          <w:sz w:val="16"/>
        </w:rPr>
        <w:t>Note: The formula for this calculation multiplies the 2014 US Census population for Bernalillo county (671,429) by SAMHSA’s estimate of the average yearly percentage of adults in Bernalillo county with a serious mental illness between 2012 and 2014 (20.24%). (671,429*20.24% =135,897)</w:t>
      </w:r>
    </w:p>
    <w:p w14:paraId="46AA5AB5" w14:textId="77777777" w:rsidR="00D67C90" w:rsidRDefault="00D67C90" w:rsidP="00B25F04"/>
    <w:p w14:paraId="43A9BBEA" w14:textId="77777777" w:rsidR="00771524" w:rsidRDefault="00771524" w:rsidP="00B25F04"/>
    <w:p w14:paraId="316324DA" w14:textId="77777777" w:rsidR="007B2A68" w:rsidRDefault="007B2A68" w:rsidP="007B2A68">
      <w:pPr>
        <w:rPr>
          <w:rFonts w:ascii="Times New Roman" w:hAnsi="Times New Roman" w:cs="Times New Roman"/>
          <w:sz w:val="24"/>
          <w:szCs w:val="24"/>
          <w:u w:val="single"/>
        </w:rPr>
        <w:sectPr w:rsidR="007B2A68">
          <w:pgSz w:w="12240" w:h="15840"/>
          <w:pgMar w:top="1440" w:right="1440" w:bottom="1440" w:left="1440" w:header="720" w:footer="720" w:gutter="0"/>
          <w:cols w:space="720"/>
          <w:docGrid w:linePitch="360"/>
        </w:sectPr>
      </w:pPr>
    </w:p>
    <w:p w14:paraId="43899690" w14:textId="77777777" w:rsidR="007B2A68" w:rsidRPr="009573B6" w:rsidRDefault="005C221D"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 4</w:t>
      </w:r>
      <w:r w:rsidR="007B2A68">
        <w:rPr>
          <w:rFonts w:ascii="Times New Roman" w:hAnsi="Times New Roman" w:cs="Times New Roman"/>
          <w:b/>
          <w:sz w:val="24"/>
          <w:szCs w:val="24"/>
        </w:rPr>
        <w:t>: Outcome Identification</w:t>
      </w:r>
    </w:p>
    <w:p w14:paraId="2311B4E8" w14:textId="77777777" w:rsidR="00ED02DD" w:rsidRDefault="00906581" w:rsidP="00FA4B34">
      <w:r>
        <w:t xml:space="preserve">A resource </w:t>
      </w:r>
      <w:r w:rsidR="00083B01">
        <w:t>that meets</w:t>
      </w:r>
      <w:r>
        <w:t xml:space="preserve"> the needs of people </w:t>
      </w:r>
      <w:r w:rsidR="00083B01">
        <w:t>at the</w:t>
      </w:r>
      <w:r>
        <w:t xml:space="preserve"> sub-acute mental health </w:t>
      </w:r>
      <w:r w:rsidR="00083B01">
        <w:t>level</w:t>
      </w:r>
      <w:r>
        <w:t xml:space="preserve"> must d</w:t>
      </w:r>
      <w:r w:rsidR="00083B01">
        <w:t>eliver</w:t>
      </w:r>
      <w:r>
        <w:t xml:space="preserve"> measureable services and achieve specific performance</w:t>
      </w:r>
      <w:r w:rsidR="00083B01">
        <w:t xml:space="preserve"> measures and outcome</w:t>
      </w:r>
      <w:r>
        <w:t xml:space="preserve">s. </w:t>
      </w:r>
      <w:r w:rsidR="00083B01">
        <w:t>In general</w:t>
      </w:r>
      <w:r w:rsidR="001348A7">
        <w:t xml:space="preserve">, the resource </w:t>
      </w:r>
      <w:r w:rsidR="00083B01">
        <w:t xml:space="preserve">should </w:t>
      </w:r>
      <w:r w:rsidR="001348A7">
        <w:t>address a series of question</w:t>
      </w:r>
      <w:r w:rsidR="00083B01">
        <w:t>s</w:t>
      </w:r>
      <w:r w:rsidR="001348A7">
        <w:t>:</w:t>
      </w:r>
    </w:p>
    <w:p w14:paraId="5F0B6738" w14:textId="0FAE5C7A" w:rsidR="00ED02DD" w:rsidRDefault="001348A7" w:rsidP="00014681">
      <w:pPr>
        <w:pStyle w:val="ListParagraph"/>
        <w:numPr>
          <w:ilvl w:val="0"/>
          <w:numId w:val="15"/>
        </w:numPr>
        <w:ind w:left="360" w:hanging="180"/>
      </w:pPr>
      <w:r>
        <w:t xml:space="preserve">Does sub-acute care lessen </w:t>
      </w:r>
      <w:r w:rsidR="004D1190">
        <w:t xml:space="preserve">contacts with </w:t>
      </w:r>
      <w:r>
        <w:t xml:space="preserve">public acute </w:t>
      </w:r>
      <w:r w:rsidR="00831876">
        <w:t>mental health</w:t>
      </w:r>
      <w:r>
        <w:t xml:space="preserve"> services?</w:t>
      </w:r>
    </w:p>
    <w:p w14:paraId="7D9F9E67" w14:textId="317FE82A" w:rsidR="00827D9B" w:rsidRDefault="001348A7" w:rsidP="00014681">
      <w:pPr>
        <w:pStyle w:val="ListParagraph"/>
        <w:numPr>
          <w:ilvl w:val="0"/>
          <w:numId w:val="15"/>
        </w:numPr>
        <w:ind w:left="360" w:hanging="180"/>
      </w:pPr>
      <w:r>
        <w:t xml:space="preserve">Does sub-acute care </w:t>
      </w:r>
      <w:r w:rsidR="004D1190">
        <w:t xml:space="preserve">produce positive </w:t>
      </w:r>
      <w:r>
        <w:t>outcomes for people with a mental illness (Dench et al.,2008)?</w:t>
      </w:r>
    </w:p>
    <w:p w14:paraId="516AE232" w14:textId="2FE2D5E2" w:rsidR="00827D9B" w:rsidRDefault="0068783A" w:rsidP="00014681">
      <w:pPr>
        <w:pStyle w:val="ListParagraph"/>
        <w:numPr>
          <w:ilvl w:val="0"/>
          <w:numId w:val="15"/>
        </w:numPr>
        <w:ind w:left="360" w:hanging="180"/>
      </w:pPr>
      <w:r>
        <w:t>Possible o</w:t>
      </w:r>
      <w:r w:rsidR="00906581">
        <w:t>utcomes may include:</w:t>
      </w:r>
      <w:r w:rsidR="004D1190">
        <w:t xml:space="preserve"> reduced contacts with emergency hospital and </w:t>
      </w:r>
      <w:r w:rsidR="00DD1B3B">
        <w:t>psychiatric</w:t>
      </w:r>
      <w:r w:rsidR="004D1190">
        <w:t xml:space="preserve"> services;</w:t>
      </w:r>
    </w:p>
    <w:p w14:paraId="2956DD71" w14:textId="2F9A2FCB" w:rsidR="00DF3CB5" w:rsidRDefault="00DF3CB5" w:rsidP="00014681">
      <w:pPr>
        <w:pStyle w:val="ListParagraph"/>
        <w:numPr>
          <w:ilvl w:val="0"/>
          <w:numId w:val="15"/>
        </w:numPr>
        <w:ind w:left="360" w:hanging="180"/>
      </w:pPr>
      <w:r>
        <w:t>R</w:t>
      </w:r>
      <w:r w:rsidR="004D1190">
        <w:t>educed contacts,</w:t>
      </w:r>
      <w:r w:rsidR="00906581">
        <w:t xml:space="preserve"> </w:t>
      </w:r>
      <w:r w:rsidR="00083B01">
        <w:t xml:space="preserve">use and </w:t>
      </w:r>
      <w:r w:rsidR="003E0B8A" w:rsidRPr="003E0B8A">
        <w:t>length of stay</w:t>
      </w:r>
      <w:r w:rsidR="00906581">
        <w:t xml:space="preserve"> </w:t>
      </w:r>
      <w:r w:rsidR="00083B01">
        <w:t>at inpatient</w:t>
      </w:r>
      <w:r w:rsidR="001348A7">
        <w:t xml:space="preserve"> mental facilities </w:t>
      </w:r>
      <w:r w:rsidR="004D1190">
        <w:t xml:space="preserve">and </w:t>
      </w:r>
      <w:r w:rsidR="001348A7">
        <w:t>jail</w:t>
      </w:r>
      <w:r w:rsidR="003E0B8A" w:rsidRPr="003E0B8A">
        <w:t>,</w:t>
      </w:r>
    </w:p>
    <w:p w14:paraId="12E0FC3F" w14:textId="5CC41F7D" w:rsidR="00DF3CB5" w:rsidRDefault="00DF3CB5" w:rsidP="00014681">
      <w:pPr>
        <w:pStyle w:val="ListParagraph"/>
        <w:numPr>
          <w:ilvl w:val="0"/>
          <w:numId w:val="15"/>
        </w:numPr>
        <w:ind w:left="360" w:hanging="180"/>
      </w:pPr>
      <w:r>
        <w:t xml:space="preserve">Reduced </w:t>
      </w:r>
      <w:r w:rsidR="00EE04C7">
        <w:t>client rates of participation in outpatient pre and post CET,</w:t>
      </w:r>
    </w:p>
    <w:p w14:paraId="544F5889" w14:textId="5903018B" w:rsidR="00014681" w:rsidRDefault="00014681" w:rsidP="00014681">
      <w:pPr>
        <w:pStyle w:val="ListParagraph"/>
        <w:numPr>
          <w:ilvl w:val="0"/>
          <w:numId w:val="15"/>
        </w:numPr>
        <w:ind w:left="360" w:hanging="180"/>
      </w:pPr>
      <w:r>
        <w:t>C</w:t>
      </w:r>
      <w:r w:rsidR="00EE04C7">
        <w:t>omparison of unexpected events after CET contact, e.g., self-harm, violence to others, homelessness, contact with the police,</w:t>
      </w:r>
      <w:r w:rsidR="008532A2">
        <w:t xml:space="preserve"> </w:t>
      </w:r>
      <w:r w:rsidR="00210AEF">
        <w:t xml:space="preserve">changes in the client’s quality of life (i.e., </w:t>
      </w:r>
      <w:r w:rsidR="008532A2">
        <w:t xml:space="preserve">measures of </w:t>
      </w:r>
      <w:r w:rsidR="00210AEF" w:rsidRPr="00F25F18">
        <w:t>through a</w:t>
      </w:r>
      <w:r w:rsidR="00210AEF">
        <w:t>n assessment of coping strategies</w:t>
      </w:r>
      <w:r w:rsidR="00210AEF" w:rsidRPr="00F25F18">
        <w:t>; reduction in utilization of emergency departments and higher levels of care; keeping people safe from suicide or other violence, or contacts with law enforcement or the criminal justice system; susta</w:t>
      </w:r>
      <w:r w:rsidR="00210AEF">
        <w:t>ined participation in treatment),</w:t>
      </w:r>
    </w:p>
    <w:p w14:paraId="3B34210C" w14:textId="76CEDB12" w:rsidR="00014681" w:rsidRDefault="00210AEF" w:rsidP="00014681">
      <w:pPr>
        <w:pStyle w:val="ListParagraph"/>
        <w:numPr>
          <w:ilvl w:val="0"/>
          <w:numId w:val="15"/>
        </w:numPr>
        <w:ind w:left="360" w:hanging="180"/>
      </w:pPr>
      <w:r>
        <w:t xml:space="preserve"> </w:t>
      </w:r>
      <w:r w:rsidR="00014681">
        <w:t>M</w:t>
      </w:r>
      <w:r w:rsidR="001348A7">
        <w:t xml:space="preserve">easures of </w:t>
      </w:r>
      <w:r w:rsidR="003E0B8A" w:rsidRPr="003E0B8A">
        <w:t>cost-</w:t>
      </w:r>
      <w:r w:rsidR="001348A7">
        <w:t xml:space="preserve"> effectiveness,</w:t>
      </w:r>
    </w:p>
    <w:p w14:paraId="378CAFDD" w14:textId="2DBBD691" w:rsidR="00204A78" w:rsidRDefault="00014681" w:rsidP="00014681">
      <w:pPr>
        <w:pStyle w:val="ListParagraph"/>
        <w:numPr>
          <w:ilvl w:val="0"/>
          <w:numId w:val="15"/>
        </w:numPr>
        <w:ind w:left="360" w:hanging="180"/>
      </w:pPr>
      <w:r>
        <w:t>S</w:t>
      </w:r>
      <w:r w:rsidR="001348A7">
        <w:t>atisfaction among clients,</w:t>
      </w:r>
      <w:r w:rsidR="003E0B8A" w:rsidRPr="003E0B8A">
        <w:t xml:space="preserve"> families</w:t>
      </w:r>
      <w:r w:rsidR="001348A7">
        <w:t>, and program staff</w:t>
      </w:r>
      <w:r w:rsidR="00204A78">
        <w:t>.</w:t>
      </w:r>
    </w:p>
    <w:p w14:paraId="3CFBF6A1" w14:textId="14392AE6" w:rsidR="00EA7CE7" w:rsidRDefault="00204A78" w:rsidP="00FA4B34">
      <w:r>
        <w:t xml:space="preserve">Performance measures should be evaluated as well as outcomes. </w:t>
      </w:r>
      <w:r w:rsidR="00AC2645">
        <w:t>Measures a</w:t>
      </w:r>
      <w:r w:rsidR="00D73256">
        <w:t xml:space="preserve">ssociated with the performance of the </w:t>
      </w:r>
      <w:r w:rsidR="00AC2645">
        <w:t xml:space="preserve">sub-acute service could be: is </w:t>
      </w:r>
      <w:r>
        <w:t xml:space="preserve">the </w:t>
      </w:r>
      <w:r w:rsidR="00AC2645">
        <w:t xml:space="preserve">service </w:t>
      </w:r>
      <w:r w:rsidR="00F74F6D">
        <w:t>utilized</w:t>
      </w:r>
      <w:r>
        <w:t xml:space="preserve"> at the anticipated rate of use</w:t>
      </w:r>
      <w:r w:rsidR="00156255">
        <w:t>,</w:t>
      </w:r>
      <w:r w:rsidR="00F74F6D">
        <w:t xml:space="preserve"> </w:t>
      </w:r>
      <w:r w:rsidR="00156255">
        <w:t>a</w:t>
      </w:r>
      <w:r w:rsidR="00C672BE">
        <w:t>t what percentage do women use the service</w:t>
      </w:r>
      <w:r w:rsidR="00156255">
        <w:t>, a</w:t>
      </w:r>
      <w:r w:rsidR="00C672BE">
        <w:t xml:space="preserve">re acute mental health hospital beds used inappropriately and does the new resource affect this situation? </w:t>
      </w:r>
    </w:p>
    <w:p w14:paraId="26B44373" w14:textId="4A08424F" w:rsidR="00170CA1" w:rsidRPr="0075631F" w:rsidRDefault="00156255" w:rsidP="0075631F">
      <w:r>
        <w:t>In addition to outcomes and performance measures, client and staff s</w:t>
      </w:r>
      <w:r w:rsidR="00CE408F">
        <w:t xml:space="preserve">atisfaction </w:t>
      </w:r>
      <w:r>
        <w:t>should be measured. Q</w:t>
      </w:r>
      <w:r w:rsidR="0075631F">
        <w:t>uestions</w:t>
      </w:r>
      <w:r>
        <w:t xml:space="preserve"> such as</w:t>
      </w:r>
      <w:r w:rsidR="0075631F">
        <w:t xml:space="preserve">: </w:t>
      </w:r>
      <w:r w:rsidR="0075631F" w:rsidRPr="0075631F">
        <w:t xml:space="preserve">what were </w:t>
      </w:r>
      <w:r>
        <w:t xml:space="preserve">clients </w:t>
      </w:r>
      <w:r w:rsidR="0075631F" w:rsidRPr="0075631F">
        <w:t>particularly h</w:t>
      </w:r>
      <w:r w:rsidR="0075631F">
        <w:t xml:space="preserve">appy with and had found useful, </w:t>
      </w:r>
      <w:r w:rsidR="0075631F" w:rsidRPr="0075631F">
        <w:t xml:space="preserve">the effectiveness of the help they had received, </w:t>
      </w:r>
      <w:r w:rsidR="00B43E25">
        <w:t>benefits of intervention at home, availability of staff at any time of the day or night, frequency of visits, plus the q</w:t>
      </w:r>
      <w:r>
        <w:t>uick response from the CET, assistance</w:t>
      </w:r>
      <w:r w:rsidR="00B43E25">
        <w:t xml:space="preserve"> with practical help such as help with benefits, and referral services.</w:t>
      </w:r>
      <w:r>
        <w:t xml:space="preserve"> Staff satisfaction includes</w:t>
      </w:r>
      <w:r w:rsidR="00170CA1">
        <w:t xml:space="preserve"> – job satisfaction, emotional exhaustion, personal accomplishment, team role clarity, </w:t>
      </w:r>
      <w:r>
        <w:t xml:space="preserve">and </w:t>
      </w:r>
      <w:r w:rsidR="00170CA1">
        <w:t xml:space="preserve">personal role </w:t>
      </w:r>
      <w:r>
        <w:t>cla</w:t>
      </w:r>
      <w:r w:rsidR="002005F8">
        <w:t>rity (MHCA, 2011).</w:t>
      </w:r>
    </w:p>
    <w:p w14:paraId="3CC045C5" w14:textId="77777777" w:rsidR="002B4966" w:rsidRPr="00C36135" w:rsidRDefault="002B4966" w:rsidP="00C36135"/>
    <w:p w14:paraId="642E2274" w14:textId="0883355C" w:rsidR="0075631F" w:rsidRPr="0075631F" w:rsidRDefault="0075631F" w:rsidP="0075631F"/>
    <w:p w14:paraId="1782F097" w14:textId="5EBB47E6" w:rsidR="00AD6075" w:rsidRDefault="00AD6075" w:rsidP="00FA4B34"/>
    <w:p w14:paraId="22EA463D" w14:textId="2EFB37BF" w:rsidR="00A64CAB" w:rsidRPr="00AE0C91" w:rsidRDefault="00A64CAB" w:rsidP="00FA4B34">
      <w:pPr>
        <w:rPr>
          <w:rFonts w:ascii="Helvetica" w:hAnsi="Helvetica" w:cs="Helvetica"/>
          <w:color w:val="000000"/>
          <w:sz w:val="16"/>
          <w:szCs w:val="18"/>
        </w:rPr>
      </w:pPr>
      <w:r w:rsidRPr="00AE0C91">
        <w:rPr>
          <w:rFonts w:ascii="Helvetica" w:hAnsi="Helvetica" w:cs="Helvetica"/>
          <w:color w:val="000000"/>
          <w:sz w:val="16"/>
          <w:szCs w:val="18"/>
        </w:rPr>
        <w:t xml:space="preserve">Dench, McClean, Carlson (2008) </w:t>
      </w:r>
      <w:r w:rsidRPr="00AE0C91">
        <w:rPr>
          <w:rFonts w:ascii="Helvetica" w:hAnsi="Helvetica" w:cs="Helvetica"/>
          <w:i/>
          <w:iCs/>
          <w:color w:val="000000"/>
          <w:sz w:val="16"/>
          <w:szCs w:val="18"/>
        </w:rPr>
        <w:t>Evaluation of the Prevention and Recovery Care (PARC) Project</w:t>
      </w:r>
      <w:r w:rsidRPr="00AE0C91">
        <w:rPr>
          <w:rFonts w:ascii="Helvetica" w:hAnsi="Helvetica" w:cs="Helvetica"/>
          <w:color w:val="000000"/>
          <w:sz w:val="16"/>
          <w:szCs w:val="18"/>
        </w:rPr>
        <w:t>; Melbourne, Mental Health &amp; Drugs Division, Victorian Department of Human Services</w:t>
      </w:r>
      <w:r w:rsidR="008C2954" w:rsidRPr="00AE0C91">
        <w:rPr>
          <w:rFonts w:ascii="Helvetica" w:hAnsi="Helvetica" w:cs="Helvetica"/>
          <w:color w:val="000000"/>
          <w:sz w:val="16"/>
          <w:szCs w:val="18"/>
        </w:rPr>
        <w:t>.</w:t>
      </w:r>
    </w:p>
    <w:p w14:paraId="39E4A9B7" w14:textId="5AAAEF4B" w:rsidR="002005F8" w:rsidRPr="00AE0C91" w:rsidRDefault="002005F8" w:rsidP="00FA4B34">
      <w:pPr>
        <w:rPr>
          <w:sz w:val="21"/>
          <w:u w:val="single"/>
        </w:rPr>
      </w:pPr>
      <w:r w:rsidRPr="00AE0C91">
        <w:rPr>
          <w:rFonts w:ascii="Helvetica" w:hAnsi="Helvetica" w:cs="Helvetica"/>
          <w:color w:val="000000"/>
          <w:sz w:val="16"/>
          <w:szCs w:val="18"/>
        </w:rPr>
        <w:t>Mental Health Council of Australia. (2011). National Health and Hospital Networks, COAG and Mental Health Reform: Sub-acute Care Initiative Positions Paper. Found online at: Australia MHCA_Position_Paper_5_-_Sub-acute_Care_Initiative.pdf</w:t>
      </w:r>
    </w:p>
    <w:p w14:paraId="781D4684" w14:textId="77777777" w:rsidR="007D24C9" w:rsidRPr="00EA7CE7" w:rsidRDefault="007D24C9" w:rsidP="007D24C9">
      <w:pPr>
        <w:ind w:left="360"/>
        <w:rPr>
          <w:u w:val="single"/>
        </w:rPr>
      </w:pPr>
    </w:p>
    <w:p w14:paraId="4BC37797" w14:textId="0D38E806" w:rsidR="00217DEA" w:rsidRDefault="00217DEA" w:rsidP="000F65B9">
      <w:pPr>
        <w:rPr>
          <w:rFonts w:ascii="Times New Roman" w:hAnsi="Times New Roman" w:cs="Times New Roman"/>
          <w:sz w:val="24"/>
          <w:szCs w:val="24"/>
          <w:u w:val="single"/>
        </w:rPr>
        <w:sectPr w:rsidR="00217DEA">
          <w:pgSz w:w="12240" w:h="15840"/>
          <w:pgMar w:top="1440" w:right="1440" w:bottom="1440" w:left="1440" w:header="720" w:footer="720" w:gutter="0"/>
          <w:cols w:space="720"/>
          <w:docGrid w:linePitch="360"/>
        </w:sectPr>
      </w:pPr>
    </w:p>
    <w:p w14:paraId="5924739F" w14:textId="77777777" w:rsidR="000F65B9" w:rsidRPr="009573B6" w:rsidRDefault="000F65B9"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w:t>
      </w:r>
      <w:r w:rsidR="005C221D">
        <w:rPr>
          <w:rFonts w:ascii="Times New Roman" w:hAnsi="Times New Roman" w:cs="Times New Roman"/>
          <w:b/>
          <w:sz w:val="24"/>
          <w:szCs w:val="24"/>
        </w:rPr>
        <w:t xml:space="preserve"> 5</w:t>
      </w:r>
      <w:r>
        <w:rPr>
          <w:rFonts w:ascii="Times New Roman" w:hAnsi="Times New Roman" w:cs="Times New Roman"/>
          <w:b/>
          <w:sz w:val="24"/>
          <w:szCs w:val="24"/>
        </w:rPr>
        <w:t>: Best Practice Identification</w:t>
      </w:r>
    </w:p>
    <w:p w14:paraId="3DA19693" w14:textId="25550ED4" w:rsidR="00A96683" w:rsidRDefault="00C32AE5" w:rsidP="00C32AE5">
      <w:r>
        <w:t xml:space="preserve">People in jeopardy of </w:t>
      </w:r>
      <w:r w:rsidR="0069149C">
        <w:t xml:space="preserve">reaching a point in their mental health requiring emergency services or at least acute crisis services </w:t>
      </w:r>
      <w:r w:rsidR="00713F05">
        <w:t xml:space="preserve">need help before their health worsens. </w:t>
      </w:r>
      <w:r w:rsidR="00906581">
        <w:t xml:space="preserve">Currently, </w:t>
      </w:r>
      <w:r w:rsidR="00210AEF">
        <w:t xml:space="preserve">Bernalillo </w:t>
      </w:r>
      <w:r w:rsidR="00D66D07">
        <w:t>C</w:t>
      </w:r>
      <w:r w:rsidR="00210AEF">
        <w:t xml:space="preserve">ounty and the </w:t>
      </w:r>
      <w:r w:rsidR="00D66D07">
        <w:t>C</w:t>
      </w:r>
      <w:r w:rsidR="00210AEF">
        <w:t xml:space="preserve">ity of Albuquerque provide mental health care in areas of prevention, maintenance services, outpatient support, </w:t>
      </w:r>
      <w:r w:rsidR="00A96683">
        <w:t>sub-acute crisis intervention, and emergency services.</w:t>
      </w:r>
    </w:p>
    <w:p w14:paraId="40D50867" w14:textId="23555338" w:rsidR="00FE0369" w:rsidRDefault="00A96683" w:rsidP="00C32AE5">
      <w:r>
        <w:t xml:space="preserve">A recent </w:t>
      </w:r>
      <w:r w:rsidR="00FE0369">
        <w:t>summary literature review</w:t>
      </w:r>
      <w:r>
        <w:t xml:space="preserve"> of </w:t>
      </w:r>
      <w:r w:rsidR="00E84F0D">
        <w:t>best practice programs in the U</w:t>
      </w:r>
      <w:r w:rsidR="00D66D07">
        <w:t>nited States</w:t>
      </w:r>
      <w:r w:rsidR="00E84F0D">
        <w:t xml:space="preserve">, United Kingdom, and Australia </w:t>
      </w:r>
      <w:r w:rsidR="00DD1B3B">
        <w:t>described</w:t>
      </w:r>
      <w:r w:rsidR="00D71197">
        <w:t xml:space="preserve"> </w:t>
      </w:r>
      <w:r w:rsidR="00BF519C">
        <w:t xml:space="preserve">two </w:t>
      </w:r>
      <w:r w:rsidR="00FE0369">
        <w:t xml:space="preserve">established best practice </w:t>
      </w:r>
      <w:r w:rsidR="00BF519C">
        <w:t>models</w:t>
      </w:r>
      <w:r w:rsidR="00FE0369">
        <w:t xml:space="preserve">. </w:t>
      </w:r>
      <w:r w:rsidR="00FE0369" w:rsidRPr="00FE0369">
        <w:t xml:space="preserve">Both models have similar objectives, but have different frequencies of care. </w:t>
      </w:r>
      <w:r w:rsidR="00FE0369">
        <w:t>Crisis Resolution</w:t>
      </w:r>
      <w:r w:rsidR="0067122D">
        <w:t xml:space="preserve"> Home Treatment</w:t>
      </w:r>
      <w:r w:rsidR="00FE0369">
        <w:t xml:space="preserve"> Teams (</w:t>
      </w:r>
      <w:r w:rsidR="00FE0369" w:rsidRPr="00FE0369">
        <w:t>CR</w:t>
      </w:r>
      <w:r w:rsidR="0067122D">
        <w:t>H</w:t>
      </w:r>
      <w:r w:rsidR="00FE0369" w:rsidRPr="00FE0369">
        <w:t>Ts</w:t>
      </w:r>
      <w:r w:rsidR="00FE0369">
        <w:t>)</w:t>
      </w:r>
      <w:r w:rsidR="00FE0369" w:rsidRPr="00FE0369">
        <w:t xml:space="preserve"> are intended for short term care; patients are typically d</w:t>
      </w:r>
      <w:r w:rsidR="00FE0369">
        <w:t>ischarged from services within two-</w:t>
      </w:r>
      <w:r w:rsidR="00FE0369" w:rsidRPr="00FE0369">
        <w:t>weeks. According to the literature, length of care is determined by the patient, but in general the objective of CR</w:t>
      </w:r>
      <w:r w:rsidR="0067122D">
        <w:t>H</w:t>
      </w:r>
      <w:r w:rsidR="00FE0369" w:rsidRPr="00FE0369">
        <w:t>T is to address immediate issues, and refer patients to long-term outpatient facilities (Carroll et al., 2001). Peer support services, are usually intende</w:t>
      </w:r>
      <w:r w:rsidR="00FE0369">
        <w:t>d for long term continued care.</w:t>
      </w:r>
      <w:r w:rsidR="00FE0369" w:rsidRPr="00FE0369">
        <w:t xml:space="preserve"> </w:t>
      </w:r>
      <w:r w:rsidR="00524A8D">
        <w:t>M</w:t>
      </w:r>
      <w:r w:rsidR="00FE0369" w:rsidRPr="00FE0369">
        <w:t>ost peer-run crisis respites are designed for a 1-3 week stay</w:t>
      </w:r>
      <w:r w:rsidR="00FE0369">
        <w:t>.</w:t>
      </w:r>
    </w:p>
    <w:p w14:paraId="4BBAE3EA" w14:textId="355A32CC" w:rsidR="00FE0369" w:rsidRPr="00FE0369" w:rsidRDefault="00FE0369" w:rsidP="00FE0369">
      <w:r w:rsidRPr="00FE0369">
        <w:rPr>
          <w:b/>
        </w:rPr>
        <w:t xml:space="preserve">Model 1: </w:t>
      </w:r>
      <w:r w:rsidR="00D001AD">
        <w:t>Crisis Resolution</w:t>
      </w:r>
      <w:r w:rsidR="00C97F52">
        <w:t xml:space="preserve"> Team</w:t>
      </w:r>
      <w:r w:rsidR="00613AE3">
        <w:t>s</w:t>
      </w:r>
      <w:r w:rsidR="00C97F52">
        <w:t xml:space="preserve"> and </w:t>
      </w:r>
      <w:r w:rsidR="00613AE3">
        <w:t xml:space="preserve">Crisis Resolution </w:t>
      </w:r>
      <w:r w:rsidR="00D001AD">
        <w:t>Home Treatment Teams</w:t>
      </w:r>
    </w:p>
    <w:p w14:paraId="5D01035D" w14:textId="1ED40D94" w:rsidR="00362B9E" w:rsidRPr="00362B9E" w:rsidRDefault="001970BD" w:rsidP="00362B9E">
      <w:r w:rsidRPr="001970BD">
        <w:t>The terms crisis resolution team, crisis resolution and home treatment team, crisis assessment and treatment team, and intensive home treatment team are curr</w:t>
      </w:r>
      <w:r w:rsidR="00903E17">
        <w:t>ently used roughly synonymously (Johnson, 2013). C</w:t>
      </w:r>
      <w:r w:rsidR="00903E17" w:rsidRPr="001970BD">
        <w:t>risis resolution and home treatment team</w:t>
      </w:r>
      <w:r w:rsidR="00903E17">
        <w:t>s (</w:t>
      </w:r>
      <w:r w:rsidR="00254899">
        <w:t>CRHT</w:t>
      </w:r>
      <w:r w:rsidR="00FE0369">
        <w:t>s</w:t>
      </w:r>
      <w:r w:rsidR="00903E17">
        <w:t>)</w:t>
      </w:r>
      <w:r w:rsidR="00FE0369" w:rsidRPr="00FE0369">
        <w:t xml:space="preserve"> are separate multidisciplinary teams that work to deliver a full range of emergency psychiatric interventions. The primary objectives of </w:t>
      </w:r>
      <w:r w:rsidR="00254899">
        <w:t>CRHT</w:t>
      </w:r>
      <w:r w:rsidR="00FE0369" w:rsidRPr="00FE0369">
        <w:t>s are</w:t>
      </w:r>
      <w:r w:rsidR="00FE0369">
        <w:t xml:space="preserve"> to</w:t>
      </w:r>
      <w:r w:rsidR="00FE0369" w:rsidRPr="00FE0369">
        <w:t xml:space="preserve">: assess patients being considered for emergency admission, provide intensive home treatment for eligible patients, continue home treatment until the crisis has been resolved, refer patients to other agencies for further care that may be needed, and reduce length of stay by early discharge from hospital to intensive home treatment when feasible. </w:t>
      </w:r>
      <w:r w:rsidR="00EA6080">
        <w:t xml:space="preserve">According to </w:t>
      </w:r>
      <w:proofErr w:type="spellStart"/>
      <w:r w:rsidR="00EA6080">
        <w:t>Minghella</w:t>
      </w:r>
      <w:proofErr w:type="spellEnd"/>
      <w:r w:rsidR="00EA6080">
        <w:t xml:space="preserve">, </w:t>
      </w:r>
      <w:r w:rsidR="00254899">
        <w:t>CRHT</w:t>
      </w:r>
      <w:r w:rsidR="00FE0369" w:rsidRPr="00FE0369">
        <w:t>s have reduced admissions to hospitals by between 20% and 40 %, and have also reduced the length of stay for patients who are admitted (</w:t>
      </w:r>
      <w:proofErr w:type="spellStart"/>
      <w:r w:rsidR="00FE0369" w:rsidRPr="00FE0369">
        <w:t>Mi</w:t>
      </w:r>
      <w:r w:rsidR="00D02775">
        <w:t>nghella</w:t>
      </w:r>
      <w:proofErr w:type="spellEnd"/>
      <w:r w:rsidR="00D02775">
        <w:t xml:space="preserve"> et al., 1998).</w:t>
      </w:r>
      <w:r w:rsidR="00C317B6">
        <w:t xml:space="preserve"> </w:t>
      </w:r>
      <w:r w:rsidR="00362B9E" w:rsidRPr="00362B9E">
        <w:t>Johnson and colleagues reported res</w:t>
      </w:r>
      <w:r w:rsidR="00D001AD">
        <w:t>ults of a before and after study and a randomiz</w:t>
      </w:r>
      <w:r w:rsidR="00362B9E" w:rsidRPr="00362B9E">
        <w:t xml:space="preserve">ed controlled trial of a CRHT team based in an </w:t>
      </w:r>
      <w:proofErr w:type="gramStart"/>
      <w:r w:rsidR="00362B9E" w:rsidRPr="00362B9E">
        <w:t>inner</w:t>
      </w:r>
      <w:proofErr w:type="gramEnd"/>
      <w:r w:rsidR="00362B9E" w:rsidRPr="00362B9E">
        <w:t xml:space="preserve">-London setting. These studies found a lower probability of being admitted to hospital within 8 weeks after the crisis and reductions in admission rates from 71 to 49% in the 6 weeks after the crisis. </w:t>
      </w:r>
      <w:r w:rsidR="00D001AD">
        <w:t>However, this study</w:t>
      </w:r>
      <w:r w:rsidR="00362B9E" w:rsidRPr="00362B9E">
        <w:t xml:space="preserve"> may suffer from a lack of </w:t>
      </w:r>
      <w:r w:rsidR="00D001AD" w:rsidRPr="00362B9E">
        <w:t>generalizability</w:t>
      </w:r>
      <w:r w:rsidR="00362B9E" w:rsidRPr="00362B9E">
        <w:t xml:space="preserve"> to the rest of the </w:t>
      </w:r>
      <w:r w:rsidR="00D001AD">
        <w:t xml:space="preserve">UK (Jacobs and </w:t>
      </w:r>
      <w:proofErr w:type="spellStart"/>
      <w:r w:rsidR="00D001AD">
        <w:t>Barrenho</w:t>
      </w:r>
      <w:proofErr w:type="spellEnd"/>
      <w:r w:rsidR="00D001AD">
        <w:t>, 2011).</w:t>
      </w:r>
      <w:r w:rsidR="00693160">
        <w:t xml:space="preserve"> Using secondary data </w:t>
      </w:r>
      <w:r w:rsidR="00F02257">
        <w:t>in a policy evaluation and using control groups and estimations to control</w:t>
      </w:r>
      <w:r w:rsidR="005A4BB9">
        <w:t xml:space="preserve"> for confounding factors</w:t>
      </w:r>
      <w:r w:rsidR="00F02257">
        <w:t xml:space="preserve">, Jacobs and </w:t>
      </w:r>
      <w:proofErr w:type="spellStart"/>
      <w:r w:rsidR="00F02257">
        <w:t>Barrenho</w:t>
      </w:r>
      <w:proofErr w:type="spellEnd"/>
      <w:r w:rsidR="00F02257">
        <w:t xml:space="preserve"> found</w:t>
      </w:r>
      <w:r w:rsidR="00C97F52">
        <w:t>,</w:t>
      </w:r>
      <w:r w:rsidR="00F02257">
        <w:t xml:space="preserve"> </w:t>
      </w:r>
      <w:r w:rsidR="00832BAB">
        <w:t>c</w:t>
      </w:r>
      <w:r w:rsidR="00832BAB" w:rsidRPr="00832BAB">
        <w:t>ontr</w:t>
      </w:r>
      <w:r w:rsidR="00832BAB">
        <w:t>ary to previous studies,</w:t>
      </w:r>
      <w:r w:rsidR="00832BAB" w:rsidRPr="00832BAB">
        <w:t xml:space="preserve"> no evidence that the </w:t>
      </w:r>
      <w:r w:rsidR="00832BAB">
        <w:t xml:space="preserve">British </w:t>
      </w:r>
      <w:r w:rsidR="00832BAB" w:rsidRPr="00832BAB">
        <w:t xml:space="preserve">CRHT policy per se has made any difference to admissions </w:t>
      </w:r>
      <w:r w:rsidR="00832BAB">
        <w:t>in mental health facilities</w:t>
      </w:r>
      <w:r w:rsidR="005A4BB9">
        <w:t>.</w:t>
      </w:r>
    </w:p>
    <w:p w14:paraId="6D211644" w14:textId="1D3242C6" w:rsidR="00FB6F77" w:rsidRDefault="00903E17" w:rsidP="00FE0369">
      <w:r>
        <w:t>Additional</w:t>
      </w:r>
      <w:r w:rsidR="00FB6F77" w:rsidRPr="00FB6F77">
        <w:t xml:space="preserve"> investigations have report</w:t>
      </w:r>
      <w:r w:rsidR="00FB6F77">
        <w:t>ed</w:t>
      </w:r>
      <w:r w:rsidR="00FB6F77" w:rsidRPr="00FB6F77">
        <w:t xml:space="preserve"> CR</w:t>
      </w:r>
      <w:r>
        <w:t>H</w:t>
      </w:r>
      <w:r w:rsidR="00FB6F77" w:rsidRPr="00FB6F77">
        <w:t>T outcomes. For instance, one report cited that there was an overall decrease in acute bed usage following the adoption of the CR</w:t>
      </w:r>
      <w:r>
        <w:t>H</w:t>
      </w:r>
      <w:r w:rsidR="00FB6F77" w:rsidRPr="00FB6F77">
        <w:t xml:space="preserve">T model in Australia. Surveys to report patient satisfaction have also been conducted, but experienced overall poor response rates. From the survey responses reported, researchers concluded that the </w:t>
      </w:r>
      <w:r w:rsidR="00254899">
        <w:t>CRHT</w:t>
      </w:r>
      <w:r w:rsidR="00FB6F77" w:rsidRPr="00FB6F77">
        <w:t xml:space="preserve"> model produced good patient satisfaction (Johnson, 2004).</w:t>
      </w:r>
    </w:p>
    <w:p w14:paraId="1FF18B80" w14:textId="2861A887" w:rsidR="008B5AE6" w:rsidRDefault="00254899" w:rsidP="00495E84">
      <w:r>
        <w:lastRenderedPageBreak/>
        <w:t>CRHT</w:t>
      </w:r>
      <w:r w:rsidR="00B509FF">
        <w:t xml:space="preserve"> continues to evolve, i</w:t>
      </w:r>
      <w:r w:rsidR="00953E7C">
        <w:t xml:space="preserve">n a </w:t>
      </w:r>
      <w:r w:rsidR="002C011C">
        <w:t xml:space="preserve">2013 </w:t>
      </w:r>
      <w:r w:rsidR="00AC347A">
        <w:t>article</w:t>
      </w:r>
      <w:r w:rsidR="002C011C">
        <w:t xml:space="preserve">, Sonia Johnson describes innovations in the </w:t>
      </w:r>
      <w:r>
        <w:t>CRHT</w:t>
      </w:r>
      <w:r w:rsidR="002C011C">
        <w:t xml:space="preserve"> model. Linking </w:t>
      </w:r>
      <w:r>
        <w:t>CRHT</w:t>
      </w:r>
      <w:r w:rsidR="002C011C">
        <w:t xml:space="preserve"> to residential facilities, </w:t>
      </w:r>
      <w:r w:rsidR="00B509FF">
        <w:t xml:space="preserve">integrating </w:t>
      </w:r>
      <w:r>
        <w:t>CRHT</w:t>
      </w:r>
      <w:r w:rsidR="00B509FF">
        <w:t xml:space="preserve"> with outpatient day services as well as linking </w:t>
      </w:r>
      <w:r>
        <w:t>CRHT</w:t>
      </w:r>
      <w:r w:rsidR="00B509FF">
        <w:t xml:space="preserve"> with inpatient facilities and rotating staff between facilities and </w:t>
      </w:r>
      <w:r>
        <w:t>CRHT</w:t>
      </w:r>
      <w:r w:rsidR="00B509FF">
        <w:t xml:space="preserve"> is another innovation.</w:t>
      </w:r>
      <w:r w:rsidR="000C0F98">
        <w:t xml:space="preserve"> </w:t>
      </w:r>
      <w:r w:rsidR="00730713">
        <w:t xml:space="preserve">The </w:t>
      </w:r>
      <w:r>
        <w:t>CRHT</w:t>
      </w:r>
      <w:r w:rsidR="000C0F98">
        <w:t xml:space="preserve"> </w:t>
      </w:r>
      <w:r w:rsidR="00730713">
        <w:t xml:space="preserve">model </w:t>
      </w:r>
      <w:r w:rsidR="00202AC6">
        <w:t>can</w:t>
      </w:r>
      <w:r w:rsidR="00730713">
        <w:t xml:space="preserve"> </w:t>
      </w:r>
      <w:r w:rsidR="00202AC6">
        <w:t>be</w:t>
      </w:r>
      <w:r w:rsidR="00730713">
        <w:t xml:space="preserve"> adapt</w:t>
      </w:r>
      <w:r w:rsidR="00202AC6">
        <w:t>ed</w:t>
      </w:r>
      <w:r w:rsidR="00730713">
        <w:t xml:space="preserve"> to </w:t>
      </w:r>
      <w:r w:rsidR="00202AC6">
        <w:t xml:space="preserve">address </w:t>
      </w:r>
      <w:r w:rsidR="00730713">
        <w:t>jurisdictional need</w:t>
      </w:r>
      <w:r w:rsidR="00202AC6">
        <w:t>s</w:t>
      </w:r>
      <w:r w:rsidR="00730713">
        <w:t xml:space="preserve">. </w:t>
      </w:r>
      <w:r w:rsidR="00202AC6">
        <w:t xml:space="preserve">The future of </w:t>
      </w:r>
      <w:r>
        <w:t>CRHT</w:t>
      </w:r>
      <w:r w:rsidR="00202AC6">
        <w:t xml:space="preserve"> may require the development of a fidelity scale to measure adherence to best practices in delivering the </w:t>
      </w:r>
      <w:r>
        <w:t>CRHT</w:t>
      </w:r>
      <w:r w:rsidR="00202AC6">
        <w:t xml:space="preserve"> model.</w:t>
      </w:r>
    </w:p>
    <w:p w14:paraId="6D16CB1F" w14:textId="4D964B4D" w:rsidR="008B5AE6" w:rsidRDefault="008B5AE6" w:rsidP="00495E84">
      <w:r w:rsidRPr="008B5AE6">
        <w:rPr>
          <w:b/>
        </w:rPr>
        <w:t xml:space="preserve">Model </w:t>
      </w:r>
      <w:r w:rsidR="008049A1">
        <w:rPr>
          <w:b/>
        </w:rPr>
        <w:t>2</w:t>
      </w:r>
      <w:r w:rsidRPr="008B5AE6">
        <w:rPr>
          <w:b/>
        </w:rPr>
        <w:t>:</w:t>
      </w:r>
      <w:r>
        <w:t xml:space="preserve"> Peer Support Services</w:t>
      </w:r>
    </w:p>
    <w:p w14:paraId="1C0A1D66" w14:textId="77777777" w:rsidR="008B5AE6" w:rsidRPr="008B5AE6" w:rsidRDefault="008B5AE6" w:rsidP="008B5AE6">
      <w:r w:rsidRPr="008B5AE6">
        <w:t xml:space="preserve">Peer Support Service is an individualized, recovery focused approach that promotes the development of wellness self-management, personal recovery, natural supports, coping skills, and self-advocacy skills and development of independent living skills for housing, employment and full community inclusion (Alliance Behavioral Healthcare). Peer supporters are people who use their experience of recovery from mental health disorders to support others in recovery. Combined with skills often learned in formal training, their experience and institutional knowledge put them in a unique position to offer support (Mental Health America). In both mutual support groups and consumer-run programs, the relationships that peers have with each other are valued for their reciprocity; they give an opportunity for sharing experiences, both giving and receiving support and for building up a mutual and synergistic understanding that benefits both parties (Mead, Hilton, &amp; Curtis, 2001). In contrast, where peers are employed to provide support in services, the peer employed in the support role is generally considered to be further along their road to recovery (Davidson, </w:t>
      </w:r>
      <w:proofErr w:type="spellStart"/>
      <w:r w:rsidRPr="008B5AE6">
        <w:t>Chinman</w:t>
      </w:r>
      <w:proofErr w:type="spellEnd"/>
      <w:r w:rsidRPr="008B5AE6">
        <w:t>, Sells, &amp; Rowe, 2006). Peers use their own experience of overcoming mental distress to support others who are currently in crisis or struggling. This shift in emphasis from reciprocal relationship to a less symmetrical relationship of ‘giver’ and ‘receiver’ of care appears to support the differing role of peer support in naturally occurring and mutual support groups and peer support workers employed in mental health systems.</w:t>
      </w:r>
    </w:p>
    <w:p w14:paraId="4B169198" w14:textId="07D2D9F0" w:rsidR="008B5AE6" w:rsidRPr="008B5AE6" w:rsidRDefault="008B5AE6" w:rsidP="008B5AE6">
      <w:r w:rsidRPr="008B5AE6">
        <w:t xml:space="preserve">The literature demonstrates that peer support </w:t>
      </w:r>
      <w:r w:rsidR="00613AE3">
        <w:t>services</w:t>
      </w:r>
      <w:r w:rsidR="00613AE3" w:rsidRPr="008B5AE6">
        <w:t xml:space="preserve"> </w:t>
      </w:r>
      <w:r w:rsidRPr="008B5AE6">
        <w:t xml:space="preserve">can lead to a reduction in psychiatric hospital admissions. Additionally, associated improvements have been reported on numerous issues that can impact the lives of people with mental </w:t>
      </w:r>
      <w:r w:rsidR="009D57CC">
        <w:t>health problems (</w:t>
      </w:r>
      <w:proofErr w:type="spellStart"/>
      <w:r w:rsidR="009D57CC">
        <w:t>Repper</w:t>
      </w:r>
      <w:proofErr w:type="spellEnd"/>
      <w:r w:rsidR="009D57CC">
        <w:t>, 2011).</w:t>
      </w:r>
      <w:r w:rsidRPr="008B5AE6">
        <w:t xml:space="preserve"> According to the literature, so</w:t>
      </w:r>
      <w:r w:rsidR="00DF10D3">
        <w:t>me benefits for consumers from peer s</w:t>
      </w:r>
      <w:r w:rsidRPr="008B5AE6">
        <w:t>upport services are admission rates to psychiatric hospitals and community tenure, empowerment, social support and social functioning, empathy and a</w:t>
      </w:r>
      <w:r w:rsidR="00345942">
        <w:t xml:space="preserve">cceptance, and reducing stigma (Gillard et al., </w:t>
      </w:r>
      <w:r w:rsidR="00DA796A">
        <w:t>2013).</w:t>
      </w:r>
      <w:r w:rsidRPr="008B5AE6">
        <w:t xml:space="preserve"> Some randomized controlled trials comparing the employment of peer support workers with care as usual or other case management conditions report either improved outcomes or no change</w:t>
      </w:r>
      <w:r w:rsidR="0025527F">
        <w:t xml:space="preserve"> (Simpson et al., 2014)</w:t>
      </w:r>
      <w:r w:rsidRPr="008B5AE6">
        <w:t xml:space="preserve">. Solomon and </w:t>
      </w:r>
      <w:proofErr w:type="spellStart"/>
      <w:r w:rsidRPr="008B5AE6">
        <w:t>Draine</w:t>
      </w:r>
      <w:proofErr w:type="spellEnd"/>
      <w:r w:rsidRPr="008B5AE6">
        <w:t xml:space="preserve"> (1995) in a 2-year outcome study reported no differences in the impact of care provided by peers and care as usual on hospital admission rates or length of stay. Similarly, O’Donnell et al. (1999) reported no significant difference in admission rates when comparing three case management conditions; standard case management, client-focused case management</w:t>
      </w:r>
      <w:r w:rsidR="00DF10D3">
        <w:t>,</w:t>
      </w:r>
      <w:r w:rsidRPr="008B5AE6">
        <w:t xml:space="preserve"> and client-focused case management with the addition of peer support. It is important to note that a result of no difference demonstrates that people in recovery are able to offer support that maintains admission rates (relapse rates) at a comparable level to professionally trained staff. However, Clarke et al. (2000) found that when assigned to either all peer support worker or all non-consumer community teams that those </w:t>
      </w:r>
      <w:r w:rsidRPr="008B5AE6">
        <w:lastRenderedPageBreak/>
        <w:t xml:space="preserve">under the care of peer support workers tended to have longer community tenure before their first psychiatric hospitalization. This study was based on following two Assertive Community Treatment (ACT) teams in Oregon, one comprised of peers (case workers with a mental health diagnosis) and one with no peers. Furthermore, in a longitudinal comparison group study, Min, </w:t>
      </w:r>
      <w:proofErr w:type="spellStart"/>
      <w:r w:rsidRPr="008B5AE6">
        <w:t>Whitecraft</w:t>
      </w:r>
      <w:proofErr w:type="spellEnd"/>
      <w:r w:rsidRPr="008B5AE6">
        <w:t xml:space="preserve">, </w:t>
      </w:r>
      <w:proofErr w:type="spellStart"/>
      <w:r w:rsidRPr="008B5AE6">
        <w:t>Rothband</w:t>
      </w:r>
      <w:proofErr w:type="spellEnd"/>
      <w:r w:rsidRPr="008B5AE6">
        <w:t xml:space="preserve">, and </w:t>
      </w:r>
      <w:proofErr w:type="spellStart"/>
      <w:r w:rsidRPr="008B5AE6">
        <w:t>Salzer</w:t>
      </w:r>
      <w:proofErr w:type="spellEnd"/>
      <w:r w:rsidRPr="008B5AE6">
        <w:t xml:space="preserve"> (2007) found that consumers involved in a peer support program demonstrated longer community tenure and had significantly l</w:t>
      </w:r>
      <w:r w:rsidR="007A5E45">
        <w:t>ess re-hospitalizations over a three</w:t>
      </w:r>
      <w:r w:rsidRPr="008B5AE6">
        <w:t xml:space="preserve">-year period. In regards to social support and social functioning, a longitudinal study, Nelson, </w:t>
      </w:r>
      <w:proofErr w:type="spellStart"/>
      <w:r w:rsidRPr="008B5AE6">
        <w:t>Ochocka</w:t>
      </w:r>
      <w:proofErr w:type="spellEnd"/>
      <w:r w:rsidRPr="008B5AE6">
        <w:t>, Janzen, and T</w:t>
      </w:r>
      <w:r w:rsidR="007A5E45">
        <w:t>rainor (2006) reported that at three</w:t>
      </w:r>
      <w:r w:rsidRPr="008B5AE6">
        <w:t>-year follow-up, consumers continuously involved in peer support programs scored significantly higher than comparison groups on a measure of ‘community integration’, which was assessed using the</w:t>
      </w:r>
      <w:r w:rsidR="007A5E45">
        <w:t xml:space="preserve"> meaningful activity scale.</w:t>
      </w:r>
    </w:p>
    <w:p w14:paraId="3BDC4F42" w14:textId="718FFE5B" w:rsidR="008B5AE6" w:rsidRPr="008B5AE6" w:rsidRDefault="008B5AE6" w:rsidP="008B5AE6">
      <w:r w:rsidRPr="008B5AE6">
        <w:t>According to SAMHSA (2009), effective roles of peer supported services are providing mentoring and coaching, connecting people to needed services and community supports, and helping in the process of establishing new social networks supportive of recovery. Currently there are many forms of peer supp</w:t>
      </w:r>
      <w:r w:rsidR="007A5E45">
        <w:t xml:space="preserve">ort services offered. </w:t>
      </w:r>
      <w:r w:rsidRPr="008B5AE6">
        <w:t>As mentioned before, the ACT team is a SAMHSA evidence-based model that provides comprehensive treatment and support services to individuals who are diagnos</w:t>
      </w:r>
      <w:r w:rsidR="007A5E45">
        <w:t>ed with serious mental illness.</w:t>
      </w:r>
      <w:r w:rsidRPr="008B5AE6">
        <w:t xml:space="preserve"> This is achieved through continued care provided at the consu</w:t>
      </w:r>
      <w:r w:rsidR="007A5E45">
        <w:t>mers’ home or in the community.</w:t>
      </w:r>
      <w:r w:rsidRPr="008B5AE6">
        <w:t xml:space="preserve"> Most of the time, ACT teams are multidisciplinary teams made up of clinicians, nurses, case managers, substance abuse specialists and peer support specialists. Target populations are identified by referrals, post</w:t>
      </w:r>
      <w:r w:rsidR="007A5E45">
        <w:t>-</w:t>
      </w:r>
      <w:r w:rsidRPr="008B5AE6">
        <w:t xml:space="preserve">psychiatric hospitalizations, and post-incarcerations. </w:t>
      </w:r>
    </w:p>
    <w:p w14:paraId="0DD9650E" w14:textId="5EE44B31" w:rsidR="008B5AE6" w:rsidRPr="008B5AE6" w:rsidRDefault="008B5AE6" w:rsidP="008B5AE6">
      <w:r w:rsidRPr="008B5AE6">
        <w:t>Also, many current peer supported services are respite based. Peer-run crisis respites are usually located in a house in a residential neighborhood. They provide a safe, homelike environment for people to overcome crisis. The intended outcomes are diverting hospitalization by building mutual, trusting relationships between staff members and users of services, which facilitate resilience and personal growth (</w:t>
      </w:r>
      <w:proofErr w:type="spellStart"/>
      <w:r w:rsidRPr="008B5AE6">
        <w:t>Ostrow</w:t>
      </w:r>
      <w:proofErr w:type="spellEnd"/>
      <w:r w:rsidRPr="008B5AE6">
        <w:t>, 2011). The National Coalition for Mental Health Recovery (NCMHR), a driving force behind the establishment of peer-run crisis respite services nationwide, has described PRCRs as a place for people in crisis to process stress, explore new options for short-term solutions, increase living and coping skills, and reduce susceptibilities to crisis in an environment that provides support and social connectednes</w:t>
      </w:r>
      <w:r w:rsidR="007A5E45">
        <w:t>s. Evidence is still being compiled</w:t>
      </w:r>
      <w:r w:rsidRPr="008B5AE6">
        <w:t xml:space="preserve"> for peer-run crisis respites, but one randomized controlled trial of a PRCR has been conducted (Greenfield, </w:t>
      </w:r>
      <w:proofErr w:type="spellStart"/>
      <w:r w:rsidRPr="008B5AE6">
        <w:t>Stoneking</w:t>
      </w:r>
      <w:proofErr w:type="spellEnd"/>
      <w:r w:rsidRPr="008B5AE6">
        <w:t xml:space="preserve">, Humphreys, </w:t>
      </w:r>
      <w:proofErr w:type="spellStart"/>
      <w:r w:rsidRPr="008B5AE6">
        <w:t>Sundby</w:t>
      </w:r>
      <w:proofErr w:type="spellEnd"/>
      <w:r w:rsidRPr="008B5AE6">
        <w:t xml:space="preserve">, &amp; Bond, 2008). This study found that the average rate of improvement in symptom ratings was greater in the alternative than in the hospital comparison group, and that the peer-run alternative group had much greater service satisfaction. The cost was significantly less: $211 per day versus $665 per day for hospitalization. The study authors concluded that this alternative was “at least as effective as standard care” and a “promising and viable alternative” (Greenfield, </w:t>
      </w:r>
      <w:proofErr w:type="spellStart"/>
      <w:r w:rsidRPr="008B5AE6">
        <w:t>Stone</w:t>
      </w:r>
      <w:r w:rsidR="00631BC0">
        <w:t>king</w:t>
      </w:r>
      <w:proofErr w:type="spellEnd"/>
      <w:r w:rsidR="00631BC0">
        <w:t>, Humphreys, et al., 2008).</w:t>
      </w:r>
    </w:p>
    <w:p w14:paraId="680687E6" w14:textId="1D63B6F8" w:rsidR="008B5AE6" w:rsidRDefault="008B5AE6" w:rsidP="008B5AE6">
      <w:r w:rsidRPr="008B5AE6">
        <w:t>Overall, peer support workers have the potential to drive through recovery-focused changes in services. However, many challenges are involved in the development of peer support such as boundaries, stress on peer support workers</w:t>
      </w:r>
      <w:r w:rsidR="004C20FD">
        <w:t>, and maintaining</w:t>
      </w:r>
      <w:r w:rsidRPr="008B5AE6">
        <w:t xml:space="preserve"> roles. Careful training, supervision</w:t>
      </w:r>
      <w:r w:rsidR="004C20FD">
        <w:t>,</w:t>
      </w:r>
      <w:r w:rsidRPr="008B5AE6">
        <w:t xml:space="preserve"> and management of all involved are required (</w:t>
      </w:r>
      <w:proofErr w:type="spellStart"/>
      <w:r w:rsidRPr="008B5AE6">
        <w:t>Repper</w:t>
      </w:r>
      <w:proofErr w:type="spellEnd"/>
      <w:r w:rsidRPr="008B5AE6">
        <w:t xml:space="preserve">, </w:t>
      </w:r>
      <w:r w:rsidR="004C20FD">
        <w:t xml:space="preserve">2011). Important to note, interventions </w:t>
      </w:r>
      <w:r w:rsidR="004C20FD">
        <w:lastRenderedPageBreak/>
        <w:t>for peer support s</w:t>
      </w:r>
      <w:r w:rsidRPr="008B5AE6">
        <w:t>ervices are evidence-based per the Consumer Operated Services Evidence Based Practices Toolkit (SAMHSA, 2011). Also important to note, peer support services are Medicaid reimbursable when using ce</w:t>
      </w:r>
      <w:r w:rsidR="004C20FD">
        <w:t>rtified peer support workers.</w:t>
      </w:r>
    </w:p>
    <w:p w14:paraId="3F84B708" w14:textId="02EC1D0C" w:rsidR="00B634D4" w:rsidRPr="008B5AE6" w:rsidRDefault="004C2E13" w:rsidP="008B5AE6">
      <w:r>
        <w:t xml:space="preserve">Both CRHT and peer support services contain characteristics that address the elements of the Problem Statement of this proposal. CRHT has existed in Australia and Europe since the 1990s. Extensive literature has been published regarding the advantages and weaknesses of CHRT. </w:t>
      </w:r>
      <w:r w:rsidR="00AA2B89">
        <w:t xml:space="preserve">As a model, CHRT has evolved and can be changed to fit the need of the user. </w:t>
      </w:r>
      <w:r w:rsidR="00E754BD">
        <w:t>An advantage of peer support services</w:t>
      </w:r>
      <w:r w:rsidR="00C85E6D">
        <w:t xml:space="preserve"> is </w:t>
      </w:r>
      <w:proofErr w:type="spellStart"/>
      <w:proofErr w:type="gramStart"/>
      <w:r w:rsidR="00C85E6D">
        <w:t>it’s</w:t>
      </w:r>
      <w:proofErr w:type="spellEnd"/>
      <w:proofErr w:type="gramEnd"/>
      <w:r w:rsidR="00C85E6D">
        <w:t xml:space="preserve"> ability to provide </w:t>
      </w:r>
      <w:r w:rsidR="00C85E6D" w:rsidRPr="00C85E6D">
        <w:t xml:space="preserve">mentoring and coaching, connecting people to community </w:t>
      </w:r>
      <w:r w:rsidR="00C85E6D">
        <w:t>services</w:t>
      </w:r>
      <w:r w:rsidR="00C85E6D" w:rsidRPr="00C85E6D">
        <w:t xml:space="preserve">, and </w:t>
      </w:r>
      <w:r w:rsidR="00C85E6D">
        <w:t>assisting</w:t>
      </w:r>
      <w:r w:rsidR="00C85E6D" w:rsidRPr="00C85E6D">
        <w:t xml:space="preserve"> in establishing </w:t>
      </w:r>
      <w:r w:rsidR="00C85E6D">
        <w:t xml:space="preserve">recovery support to the client. </w:t>
      </w:r>
      <w:r w:rsidR="005D3A24">
        <w:t>An innovative model like CHRT can be matched with a supportive program such as peer support services an address the problem statement described in this proposal.</w:t>
      </w:r>
      <w:bookmarkStart w:id="0" w:name="_GoBack"/>
      <w:bookmarkEnd w:id="0"/>
    </w:p>
    <w:p w14:paraId="33C3B25C" w14:textId="77777777" w:rsidR="008B5AE6" w:rsidRDefault="008B5AE6" w:rsidP="003359A0">
      <w:pPr>
        <w:rPr>
          <w:rFonts w:ascii="Helvetica" w:hAnsi="Helvetica" w:cs="Times New Roman"/>
          <w:sz w:val="16"/>
          <w:szCs w:val="24"/>
        </w:rPr>
      </w:pPr>
    </w:p>
    <w:p w14:paraId="66B377BC" w14:textId="77777777" w:rsidR="00FE0369" w:rsidRPr="00FE0369" w:rsidRDefault="00FE0369" w:rsidP="00FE0369">
      <w:pPr>
        <w:rPr>
          <w:rFonts w:ascii="Helvetica" w:hAnsi="Helvetica" w:cs="Times New Roman"/>
          <w:sz w:val="16"/>
          <w:szCs w:val="24"/>
        </w:rPr>
      </w:pPr>
      <w:r w:rsidRPr="00FE0369">
        <w:rPr>
          <w:rFonts w:ascii="Helvetica" w:hAnsi="Helvetica" w:cs="Times New Roman"/>
          <w:sz w:val="16"/>
          <w:szCs w:val="24"/>
        </w:rPr>
        <w:t xml:space="preserve">Carroll, A., </w:t>
      </w:r>
      <w:proofErr w:type="spellStart"/>
      <w:r w:rsidRPr="00FE0369">
        <w:rPr>
          <w:rFonts w:ascii="Helvetica" w:hAnsi="Helvetica" w:cs="Times New Roman"/>
          <w:sz w:val="16"/>
          <w:szCs w:val="24"/>
        </w:rPr>
        <w:t>Pickworth</w:t>
      </w:r>
      <w:proofErr w:type="spellEnd"/>
      <w:r w:rsidRPr="00FE0369">
        <w:rPr>
          <w:rFonts w:ascii="Helvetica" w:hAnsi="Helvetica" w:cs="Times New Roman"/>
          <w:sz w:val="16"/>
          <w:szCs w:val="24"/>
        </w:rPr>
        <w:t xml:space="preserve">, J., &amp; </w:t>
      </w:r>
      <w:proofErr w:type="spellStart"/>
      <w:r w:rsidRPr="00FE0369">
        <w:rPr>
          <w:rFonts w:ascii="Helvetica" w:hAnsi="Helvetica" w:cs="Times New Roman"/>
          <w:sz w:val="16"/>
          <w:szCs w:val="24"/>
        </w:rPr>
        <w:t>Protheroe</w:t>
      </w:r>
      <w:proofErr w:type="spellEnd"/>
      <w:r w:rsidRPr="00FE0369">
        <w:rPr>
          <w:rFonts w:ascii="Helvetica" w:hAnsi="Helvetica" w:cs="Times New Roman"/>
          <w:sz w:val="16"/>
          <w:szCs w:val="24"/>
        </w:rPr>
        <w:t>, D. (2001). Service Innovations: An Australian approach to community care - the Northern Crisis Assessment and treatment team. Psychiatric Bulletin, 25(11), 439-441.</w:t>
      </w:r>
    </w:p>
    <w:p w14:paraId="481CD853" w14:textId="77777777" w:rsidR="008C2249" w:rsidRPr="00B3660F" w:rsidRDefault="008C2249" w:rsidP="008C2249">
      <w:pPr>
        <w:rPr>
          <w:rFonts w:ascii="Helvetica" w:hAnsi="Helvetica" w:cs="Times New Roman"/>
          <w:bCs/>
          <w:sz w:val="16"/>
          <w:szCs w:val="24"/>
        </w:rPr>
      </w:pPr>
      <w:r w:rsidRPr="008F242F">
        <w:rPr>
          <w:rFonts w:ascii="Helvetica" w:hAnsi="Helvetica" w:cs="Times New Roman"/>
          <w:bCs/>
          <w:sz w:val="16"/>
          <w:szCs w:val="24"/>
        </w:rPr>
        <w:t xml:space="preserve">Clarke, Gregory N., Heidi A. </w:t>
      </w:r>
      <w:proofErr w:type="spellStart"/>
      <w:r w:rsidRPr="008F242F">
        <w:rPr>
          <w:rFonts w:ascii="Helvetica" w:hAnsi="Helvetica" w:cs="Times New Roman"/>
          <w:bCs/>
          <w:sz w:val="16"/>
          <w:szCs w:val="24"/>
        </w:rPr>
        <w:t>Herinckx</w:t>
      </w:r>
      <w:proofErr w:type="spellEnd"/>
      <w:r w:rsidRPr="008F242F">
        <w:rPr>
          <w:rFonts w:ascii="Helvetica" w:hAnsi="Helvetica" w:cs="Times New Roman"/>
          <w:bCs/>
          <w:sz w:val="16"/>
          <w:szCs w:val="24"/>
        </w:rPr>
        <w:t xml:space="preserve">, Ronald F. Kinney, Robert I. Paulson, David L. Cutler, Karen Lewis, and Evie </w:t>
      </w:r>
      <w:proofErr w:type="spellStart"/>
      <w:r w:rsidRPr="008F242F">
        <w:rPr>
          <w:rFonts w:ascii="Helvetica" w:hAnsi="Helvetica" w:cs="Times New Roman"/>
          <w:bCs/>
          <w:sz w:val="16"/>
          <w:szCs w:val="24"/>
        </w:rPr>
        <w:t>Oxman</w:t>
      </w:r>
      <w:proofErr w:type="spellEnd"/>
      <w:r w:rsidRPr="008F242F">
        <w:rPr>
          <w:rFonts w:ascii="Helvetica" w:hAnsi="Helvetica" w:cs="Times New Roman"/>
          <w:bCs/>
          <w:sz w:val="16"/>
          <w:szCs w:val="24"/>
        </w:rPr>
        <w:t>. (2000). Psychiatric Hospitalizations, Arrests, Emergency Room Visits, and Homelessness of Clients with Serious and Persistent Mental Illness: Findings from a Randomized Trial of Two ACT Programs vs. Usual Care</w:t>
      </w:r>
      <w:r>
        <w:rPr>
          <w:rFonts w:ascii="Helvetica" w:hAnsi="Helvetica" w:cs="Times New Roman"/>
          <w:bCs/>
          <w:sz w:val="16"/>
          <w:szCs w:val="24"/>
        </w:rPr>
        <w:t xml:space="preserve">. </w:t>
      </w:r>
      <w:r>
        <w:rPr>
          <w:rFonts w:ascii="Helvetica" w:hAnsi="Helvetica" w:cs="Times New Roman"/>
          <w:bCs/>
          <w:i/>
          <w:sz w:val="16"/>
          <w:szCs w:val="24"/>
        </w:rPr>
        <w:t>Mental Health Services Research</w:t>
      </w:r>
      <w:r>
        <w:rPr>
          <w:rFonts w:ascii="Helvetica" w:hAnsi="Helvetica" w:cs="Times New Roman"/>
          <w:bCs/>
          <w:sz w:val="16"/>
          <w:szCs w:val="24"/>
        </w:rPr>
        <w:t>, Vol. 2, No. 3.</w:t>
      </w:r>
    </w:p>
    <w:p w14:paraId="3C1B4D58" w14:textId="5A3CC7CB" w:rsidR="001A19C4" w:rsidRDefault="001A19C4" w:rsidP="003E29D6">
      <w:pPr>
        <w:rPr>
          <w:rFonts w:ascii="Helvetica" w:hAnsi="Helvetica" w:cs="Times New Roman"/>
          <w:sz w:val="16"/>
          <w:szCs w:val="24"/>
        </w:rPr>
      </w:pPr>
      <w:r w:rsidRPr="001A19C4">
        <w:rPr>
          <w:rFonts w:ascii="Helvetica" w:hAnsi="Helvetica" w:cs="Times New Roman"/>
          <w:sz w:val="16"/>
          <w:szCs w:val="24"/>
        </w:rPr>
        <w:t>Community Partners, INC. (2015). Behavioral Health Business Plan (pp. 1-99) (Bernalillo County Behavioral Health Initiative, Bernalillo County Board of County Commissioners). Community Partners, INC.</w:t>
      </w:r>
    </w:p>
    <w:p w14:paraId="157A9E45" w14:textId="77777777" w:rsidR="008B5AE6" w:rsidRPr="008B5AE6" w:rsidRDefault="008B5AE6" w:rsidP="008B5AE6">
      <w:pPr>
        <w:rPr>
          <w:rFonts w:ascii="Helvetica" w:hAnsi="Helvetica" w:cs="Times New Roman"/>
          <w:sz w:val="16"/>
          <w:szCs w:val="24"/>
        </w:rPr>
      </w:pPr>
      <w:r w:rsidRPr="008B5AE6">
        <w:rPr>
          <w:rFonts w:ascii="Helvetica" w:hAnsi="Helvetica" w:cs="Times New Roman"/>
          <w:sz w:val="16"/>
          <w:szCs w:val="24"/>
        </w:rPr>
        <w:t xml:space="preserve">Davidson, L., </w:t>
      </w:r>
      <w:proofErr w:type="spellStart"/>
      <w:r w:rsidRPr="008B5AE6">
        <w:rPr>
          <w:rFonts w:ascii="Helvetica" w:hAnsi="Helvetica" w:cs="Times New Roman"/>
          <w:sz w:val="16"/>
          <w:szCs w:val="24"/>
        </w:rPr>
        <w:t>Chinman</w:t>
      </w:r>
      <w:proofErr w:type="spellEnd"/>
      <w:r w:rsidRPr="008B5AE6">
        <w:rPr>
          <w:rFonts w:ascii="Helvetica" w:hAnsi="Helvetica" w:cs="Times New Roman"/>
          <w:sz w:val="16"/>
          <w:szCs w:val="24"/>
        </w:rPr>
        <w:t xml:space="preserve">, M., Sells, D., &amp; Rowe, M. (2006). Peer support among adults with serious mental illness: A report from the field. </w:t>
      </w:r>
      <w:r w:rsidRPr="008B5AE6">
        <w:rPr>
          <w:rFonts w:ascii="Helvetica" w:hAnsi="Helvetica" w:cs="Times New Roman"/>
          <w:i/>
          <w:sz w:val="16"/>
          <w:szCs w:val="24"/>
        </w:rPr>
        <w:t>Schizophrenia Bulletin</w:t>
      </w:r>
      <w:r w:rsidRPr="008B5AE6">
        <w:rPr>
          <w:rFonts w:ascii="Helvetica" w:hAnsi="Helvetica" w:cs="Times New Roman"/>
          <w:sz w:val="16"/>
          <w:szCs w:val="24"/>
        </w:rPr>
        <w:t>, 32(3), 443–445.</w:t>
      </w:r>
    </w:p>
    <w:p w14:paraId="6E9A57A7" w14:textId="1DDF7582" w:rsidR="00680B3F" w:rsidRPr="00680B3F" w:rsidRDefault="00680B3F" w:rsidP="00680B3F">
      <w:pPr>
        <w:rPr>
          <w:rFonts w:ascii="Helvetica" w:hAnsi="Helvetica" w:cs="Times New Roman"/>
          <w:sz w:val="16"/>
          <w:szCs w:val="24"/>
        </w:rPr>
      </w:pPr>
      <w:r w:rsidRPr="00680B3F">
        <w:rPr>
          <w:rFonts w:ascii="Helvetica" w:hAnsi="Helvetica" w:cs="Times New Roman"/>
          <w:sz w:val="16"/>
          <w:szCs w:val="24"/>
        </w:rPr>
        <w:t xml:space="preserve">Gillard, S. G., Edwards, C., Gibson, S. L., Owen, K., &amp; Wright, C. (2013). Introducing peer worker roles into UK mental health service teams: A qualitative analysis of the </w:t>
      </w:r>
      <w:proofErr w:type="spellStart"/>
      <w:r w:rsidRPr="00680B3F">
        <w:rPr>
          <w:rFonts w:ascii="Helvetica" w:hAnsi="Helvetica" w:cs="Times New Roman"/>
          <w:sz w:val="16"/>
          <w:szCs w:val="24"/>
        </w:rPr>
        <w:t>organisational</w:t>
      </w:r>
      <w:proofErr w:type="spellEnd"/>
      <w:r w:rsidRPr="00680B3F">
        <w:rPr>
          <w:rFonts w:ascii="Helvetica" w:hAnsi="Helvetica" w:cs="Times New Roman"/>
          <w:sz w:val="16"/>
          <w:szCs w:val="24"/>
        </w:rPr>
        <w:t xml:space="preserve"> benefits and challenges. </w:t>
      </w:r>
      <w:r w:rsidRPr="00680B3F">
        <w:rPr>
          <w:rFonts w:ascii="Helvetica" w:hAnsi="Helvetica" w:cs="Times New Roman"/>
          <w:i/>
          <w:iCs/>
          <w:sz w:val="16"/>
          <w:szCs w:val="24"/>
        </w:rPr>
        <w:t>BMC Health Services Research, 13</w:t>
      </w:r>
      <w:r w:rsidRPr="00680B3F">
        <w:rPr>
          <w:rFonts w:ascii="Helvetica" w:hAnsi="Helvetica" w:cs="Times New Roman"/>
          <w:sz w:val="16"/>
          <w:szCs w:val="24"/>
        </w:rPr>
        <w:t xml:space="preserve">(188). </w:t>
      </w:r>
      <w:proofErr w:type="spellStart"/>
      <w:r w:rsidRPr="00680B3F">
        <w:rPr>
          <w:rFonts w:ascii="Helvetica" w:hAnsi="Helvetica" w:cs="Times New Roman"/>
          <w:sz w:val="16"/>
          <w:szCs w:val="24"/>
        </w:rPr>
        <w:t>doi</w:t>
      </w:r>
      <w:proofErr w:type="spellEnd"/>
      <w:r w:rsidRPr="00680B3F">
        <w:rPr>
          <w:rFonts w:ascii="Helvetica" w:hAnsi="Helvetica" w:cs="Times New Roman"/>
          <w:sz w:val="16"/>
          <w:szCs w:val="24"/>
        </w:rPr>
        <w:t>: http://www.bio</w:t>
      </w:r>
      <w:r w:rsidR="0044163C">
        <w:rPr>
          <w:rFonts w:ascii="Helvetica" w:hAnsi="Helvetica" w:cs="Times New Roman"/>
          <w:sz w:val="16"/>
          <w:szCs w:val="24"/>
        </w:rPr>
        <w:t>medcentral.com/1472-6963/13/188</w:t>
      </w:r>
    </w:p>
    <w:p w14:paraId="01758BA3" w14:textId="32218C71" w:rsidR="008B5AE6" w:rsidRDefault="00680B3F" w:rsidP="00680B3F">
      <w:pPr>
        <w:rPr>
          <w:rFonts w:ascii="Helvetica" w:hAnsi="Helvetica" w:cs="Times New Roman"/>
          <w:sz w:val="16"/>
          <w:szCs w:val="24"/>
        </w:rPr>
      </w:pPr>
      <w:r w:rsidRPr="00680B3F">
        <w:rPr>
          <w:rFonts w:ascii="Helvetica" w:hAnsi="Helvetica" w:cs="Times New Roman"/>
          <w:sz w:val="16"/>
          <w:szCs w:val="24"/>
        </w:rPr>
        <w:t xml:space="preserve"> </w:t>
      </w:r>
      <w:r w:rsidR="008B5AE6" w:rsidRPr="008B5AE6">
        <w:rPr>
          <w:rFonts w:ascii="Helvetica" w:hAnsi="Helvetica" w:cs="Times New Roman"/>
          <w:sz w:val="16"/>
          <w:szCs w:val="24"/>
        </w:rPr>
        <w:t xml:space="preserve">Greenfield, T. K., </w:t>
      </w:r>
      <w:proofErr w:type="spellStart"/>
      <w:r w:rsidR="008B5AE6" w:rsidRPr="008B5AE6">
        <w:rPr>
          <w:rFonts w:ascii="Helvetica" w:hAnsi="Helvetica" w:cs="Times New Roman"/>
          <w:sz w:val="16"/>
          <w:szCs w:val="24"/>
        </w:rPr>
        <w:t>Stoneking</w:t>
      </w:r>
      <w:proofErr w:type="spellEnd"/>
      <w:r w:rsidR="008B5AE6" w:rsidRPr="008B5AE6">
        <w:rPr>
          <w:rFonts w:ascii="Helvetica" w:hAnsi="Helvetica" w:cs="Times New Roman"/>
          <w:sz w:val="16"/>
          <w:szCs w:val="24"/>
        </w:rPr>
        <w:t xml:space="preserve">, B. C., Humphreys, K., </w:t>
      </w:r>
      <w:proofErr w:type="spellStart"/>
      <w:r w:rsidR="008B5AE6" w:rsidRPr="008B5AE6">
        <w:rPr>
          <w:rFonts w:ascii="Helvetica" w:hAnsi="Helvetica" w:cs="Times New Roman"/>
          <w:sz w:val="16"/>
          <w:szCs w:val="24"/>
        </w:rPr>
        <w:t>Sundby</w:t>
      </w:r>
      <w:proofErr w:type="spellEnd"/>
      <w:r w:rsidR="008B5AE6" w:rsidRPr="008B5AE6">
        <w:rPr>
          <w:rFonts w:ascii="Helvetica" w:hAnsi="Helvetica" w:cs="Times New Roman"/>
          <w:sz w:val="16"/>
          <w:szCs w:val="24"/>
        </w:rPr>
        <w:t xml:space="preserve">, E., &amp; Bond, J. (2008). A randomized trial of a mental health consumer-managed alternative to civil commitment for acute psychiatric crisis. </w:t>
      </w:r>
      <w:r w:rsidR="008B5AE6" w:rsidRPr="008B5AE6">
        <w:rPr>
          <w:rFonts w:ascii="Helvetica" w:hAnsi="Helvetica" w:cs="Times New Roman"/>
          <w:i/>
          <w:iCs/>
          <w:sz w:val="16"/>
          <w:szCs w:val="24"/>
        </w:rPr>
        <w:t>American Journal of Community Psychology, 42</w:t>
      </w:r>
      <w:r w:rsidR="008B5AE6" w:rsidRPr="008B5AE6">
        <w:rPr>
          <w:rFonts w:ascii="Helvetica" w:hAnsi="Helvetica" w:cs="Times New Roman"/>
          <w:sz w:val="16"/>
          <w:szCs w:val="24"/>
        </w:rPr>
        <w:t>(1), 135-144.</w:t>
      </w:r>
    </w:p>
    <w:p w14:paraId="1DABF172" w14:textId="4C2AF569" w:rsidR="00D001AD" w:rsidRDefault="00D001AD" w:rsidP="003E29D6">
      <w:pPr>
        <w:rPr>
          <w:rFonts w:ascii="Helvetica" w:hAnsi="Helvetica" w:cs="Times New Roman"/>
          <w:sz w:val="16"/>
          <w:szCs w:val="24"/>
        </w:rPr>
      </w:pPr>
      <w:r>
        <w:rPr>
          <w:rFonts w:ascii="Helvetica" w:hAnsi="Helvetica" w:cs="Times New Roman"/>
          <w:sz w:val="16"/>
          <w:szCs w:val="24"/>
        </w:rPr>
        <w:t xml:space="preserve">Jacobs, R. and E. </w:t>
      </w:r>
      <w:proofErr w:type="spellStart"/>
      <w:r>
        <w:rPr>
          <w:rFonts w:ascii="Helvetica" w:hAnsi="Helvetica" w:cs="Times New Roman"/>
          <w:sz w:val="16"/>
          <w:szCs w:val="24"/>
        </w:rPr>
        <w:t>Barrenho</w:t>
      </w:r>
      <w:proofErr w:type="spellEnd"/>
      <w:r>
        <w:rPr>
          <w:rFonts w:ascii="Helvetica" w:hAnsi="Helvetica" w:cs="Times New Roman"/>
          <w:sz w:val="16"/>
          <w:szCs w:val="24"/>
        </w:rPr>
        <w:t>. (2011). I</w:t>
      </w:r>
      <w:r w:rsidRPr="00D001AD">
        <w:rPr>
          <w:rFonts w:ascii="Helvetica" w:hAnsi="Helvetica" w:cs="Times New Roman"/>
          <w:sz w:val="16"/>
          <w:szCs w:val="24"/>
        </w:rPr>
        <w:t>mpact of crisis resolution and home treatment teams on ps</w:t>
      </w:r>
      <w:r>
        <w:rPr>
          <w:rFonts w:ascii="Helvetica" w:hAnsi="Helvetica" w:cs="Times New Roman"/>
          <w:sz w:val="16"/>
          <w:szCs w:val="24"/>
        </w:rPr>
        <w:t xml:space="preserve">ychiatric admissions in England. </w:t>
      </w:r>
      <w:r w:rsidRPr="00D001AD">
        <w:rPr>
          <w:rFonts w:ascii="Helvetica" w:hAnsi="Helvetica" w:cs="Times New Roman"/>
          <w:sz w:val="16"/>
          <w:szCs w:val="24"/>
        </w:rPr>
        <w:t>The Brit</w:t>
      </w:r>
      <w:r>
        <w:rPr>
          <w:rFonts w:ascii="Helvetica" w:hAnsi="Helvetica" w:cs="Times New Roman"/>
          <w:sz w:val="16"/>
          <w:szCs w:val="24"/>
        </w:rPr>
        <w:t xml:space="preserve">ish Journal of Psychiatry, </w:t>
      </w:r>
      <w:r w:rsidRPr="00D001AD">
        <w:rPr>
          <w:rFonts w:ascii="Helvetica" w:hAnsi="Helvetica" w:cs="Times New Roman"/>
          <w:sz w:val="16"/>
          <w:szCs w:val="24"/>
        </w:rPr>
        <w:t> 199, 71–76.</w:t>
      </w:r>
      <w:r>
        <w:rPr>
          <w:rFonts w:ascii="Helvetica" w:hAnsi="Helvetica" w:cs="Times New Roman"/>
          <w:sz w:val="16"/>
          <w:szCs w:val="24"/>
        </w:rPr>
        <w:t xml:space="preserve"> </w:t>
      </w:r>
      <w:proofErr w:type="spellStart"/>
      <w:r>
        <w:rPr>
          <w:rFonts w:ascii="Helvetica" w:hAnsi="Helvetica" w:cs="Times New Roman"/>
          <w:sz w:val="16"/>
          <w:szCs w:val="24"/>
        </w:rPr>
        <w:t>doi</w:t>
      </w:r>
      <w:proofErr w:type="spellEnd"/>
      <w:r>
        <w:rPr>
          <w:rFonts w:ascii="Helvetica" w:hAnsi="Helvetica" w:cs="Times New Roman"/>
          <w:sz w:val="16"/>
          <w:szCs w:val="24"/>
        </w:rPr>
        <w:t>: 10.1192/bjp.bp.110.079830</w:t>
      </w:r>
    </w:p>
    <w:p w14:paraId="1901AF86" w14:textId="77777777" w:rsidR="003E29D6" w:rsidRPr="003E29D6" w:rsidRDefault="003E29D6" w:rsidP="003E29D6">
      <w:pPr>
        <w:rPr>
          <w:rFonts w:ascii="Helvetica" w:hAnsi="Helvetica" w:cs="Times New Roman"/>
          <w:sz w:val="16"/>
          <w:szCs w:val="24"/>
        </w:rPr>
      </w:pPr>
      <w:r w:rsidRPr="003E29D6">
        <w:rPr>
          <w:rFonts w:ascii="Helvetica" w:hAnsi="Helvetica" w:cs="Times New Roman"/>
          <w:sz w:val="16"/>
          <w:szCs w:val="24"/>
        </w:rPr>
        <w:t>Johnson, S. (2004). Crisis resolution and intensive home treatment teams. Psychiatry, Medical Publishing Company, 3(9), 22-25.</w:t>
      </w:r>
    </w:p>
    <w:p w14:paraId="1564E3CF" w14:textId="138FD171" w:rsidR="00EA6080" w:rsidRPr="00EA6080" w:rsidRDefault="00EA6080" w:rsidP="00EA6080">
      <w:pPr>
        <w:rPr>
          <w:rFonts w:ascii="Helvetica" w:hAnsi="Helvetica" w:cs="Times New Roman"/>
          <w:sz w:val="16"/>
          <w:szCs w:val="24"/>
        </w:rPr>
      </w:pPr>
      <w:r w:rsidRPr="00EA6080">
        <w:rPr>
          <w:rFonts w:ascii="Helvetica" w:hAnsi="Helvetica" w:cs="Times New Roman"/>
          <w:sz w:val="16"/>
          <w:szCs w:val="24"/>
        </w:rPr>
        <w:t>Johnson,</w:t>
      </w:r>
      <w:r>
        <w:rPr>
          <w:rFonts w:ascii="Helvetica" w:hAnsi="Helvetica" w:cs="Times New Roman"/>
          <w:sz w:val="16"/>
          <w:szCs w:val="24"/>
        </w:rPr>
        <w:t xml:space="preserve"> S.,</w:t>
      </w:r>
      <w:r w:rsidRPr="00EA6080">
        <w:rPr>
          <w:rFonts w:ascii="Helvetica" w:hAnsi="Helvetica" w:cs="Times New Roman"/>
          <w:sz w:val="16"/>
          <w:szCs w:val="24"/>
        </w:rPr>
        <w:t xml:space="preserve"> Fiona Nolan, Stephen Pilling, Andrew Sandor, John Hoult, Nigel McKenzie, Ian R White, </w:t>
      </w:r>
      <w:r>
        <w:rPr>
          <w:rFonts w:ascii="Helvetica" w:hAnsi="Helvetica" w:cs="Times New Roman"/>
          <w:sz w:val="16"/>
          <w:szCs w:val="24"/>
        </w:rPr>
        <w:t xml:space="preserve">Marie Thompson, Paul </w:t>
      </w:r>
      <w:proofErr w:type="spellStart"/>
      <w:r>
        <w:rPr>
          <w:rFonts w:ascii="Helvetica" w:hAnsi="Helvetica" w:cs="Times New Roman"/>
          <w:sz w:val="16"/>
          <w:szCs w:val="24"/>
        </w:rPr>
        <w:t>Bebbington</w:t>
      </w:r>
      <w:proofErr w:type="spellEnd"/>
      <w:r>
        <w:rPr>
          <w:rFonts w:ascii="Helvetica" w:hAnsi="Helvetica" w:cs="Times New Roman"/>
          <w:sz w:val="16"/>
          <w:szCs w:val="24"/>
        </w:rPr>
        <w:t xml:space="preserve">. (2005). </w:t>
      </w:r>
      <w:proofErr w:type="spellStart"/>
      <w:r w:rsidRPr="00EA6080">
        <w:rPr>
          <w:rFonts w:ascii="Helvetica" w:hAnsi="Helvetica" w:cs="Times New Roman"/>
          <w:sz w:val="16"/>
          <w:szCs w:val="24"/>
        </w:rPr>
        <w:t>Randomised</w:t>
      </w:r>
      <w:proofErr w:type="spellEnd"/>
      <w:r w:rsidRPr="00EA6080">
        <w:rPr>
          <w:rFonts w:ascii="Helvetica" w:hAnsi="Helvetica" w:cs="Times New Roman"/>
          <w:sz w:val="16"/>
          <w:szCs w:val="24"/>
        </w:rPr>
        <w:t xml:space="preserve"> controlled trial of acute mental health care by a crisis resolution team: t</w:t>
      </w:r>
      <w:r>
        <w:rPr>
          <w:rFonts w:ascii="Helvetica" w:hAnsi="Helvetica" w:cs="Times New Roman"/>
          <w:sz w:val="16"/>
          <w:szCs w:val="24"/>
        </w:rPr>
        <w:t xml:space="preserve">he north Islington crisis </w:t>
      </w:r>
      <w:r w:rsidRPr="00EA6080">
        <w:rPr>
          <w:rFonts w:ascii="Helvetica" w:hAnsi="Helvetica" w:cs="Times New Roman"/>
          <w:sz w:val="16"/>
          <w:szCs w:val="24"/>
        </w:rPr>
        <w:t xml:space="preserve">study. </w:t>
      </w:r>
      <w:r w:rsidRPr="00EA6080">
        <w:rPr>
          <w:rFonts w:ascii="Helvetica" w:hAnsi="Helvetica" w:cs="Times New Roman"/>
          <w:bCs/>
          <w:sz w:val="16"/>
          <w:szCs w:val="24"/>
        </w:rPr>
        <w:t>BMJ, doi:10.1136/bmj.38519.678148.8F (published 15 August 2005)</w:t>
      </w:r>
      <w:r>
        <w:rPr>
          <w:rFonts w:ascii="Helvetica" w:hAnsi="Helvetica" w:cs="Times New Roman"/>
          <w:b/>
          <w:bCs/>
          <w:sz w:val="16"/>
          <w:szCs w:val="24"/>
        </w:rPr>
        <w:t>.</w:t>
      </w:r>
    </w:p>
    <w:p w14:paraId="2BE8B202" w14:textId="3FC5C7F9" w:rsidR="003E29D6" w:rsidRDefault="00D04C24" w:rsidP="00FE0369">
      <w:pPr>
        <w:rPr>
          <w:rFonts w:ascii="Helvetica" w:hAnsi="Helvetica" w:cs="Times New Roman"/>
          <w:sz w:val="16"/>
          <w:szCs w:val="24"/>
        </w:rPr>
      </w:pPr>
      <w:r>
        <w:rPr>
          <w:rFonts w:ascii="Helvetica" w:hAnsi="Helvetica" w:cs="Times New Roman"/>
          <w:sz w:val="16"/>
          <w:szCs w:val="24"/>
        </w:rPr>
        <w:t xml:space="preserve">Johnson, S. (2013). </w:t>
      </w:r>
      <w:r w:rsidR="008811F9" w:rsidRPr="008811F9">
        <w:rPr>
          <w:rFonts w:ascii="Helvetica" w:hAnsi="Helvetica" w:cs="Times New Roman"/>
          <w:sz w:val="16"/>
          <w:szCs w:val="24"/>
        </w:rPr>
        <w:t>Crisis resolution and home tre</w:t>
      </w:r>
      <w:r w:rsidR="008811F9">
        <w:rPr>
          <w:rFonts w:ascii="Helvetica" w:hAnsi="Helvetica" w:cs="Times New Roman"/>
          <w:sz w:val="16"/>
          <w:szCs w:val="24"/>
        </w:rPr>
        <w:t xml:space="preserve">atment teams: an evolving model. </w:t>
      </w:r>
      <w:r w:rsidR="008811F9" w:rsidRPr="008811F9">
        <w:rPr>
          <w:rFonts w:ascii="Helvetica" w:hAnsi="Helvetica" w:cs="Times New Roman"/>
          <w:sz w:val="16"/>
          <w:szCs w:val="24"/>
        </w:rPr>
        <w:t xml:space="preserve">Advances in psychiatric treatment (2013), vol. 19, 115–123 </w:t>
      </w:r>
      <w:proofErr w:type="spellStart"/>
      <w:r w:rsidR="008811F9" w:rsidRPr="008811F9">
        <w:rPr>
          <w:rFonts w:ascii="Helvetica" w:hAnsi="Helvetica" w:cs="Times New Roman"/>
          <w:sz w:val="16"/>
          <w:szCs w:val="24"/>
        </w:rPr>
        <w:t>doi</w:t>
      </w:r>
      <w:proofErr w:type="spellEnd"/>
      <w:r w:rsidR="008811F9" w:rsidRPr="008811F9">
        <w:rPr>
          <w:rFonts w:ascii="Helvetica" w:hAnsi="Helvetica" w:cs="Times New Roman"/>
          <w:sz w:val="16"/>
          <w:szCs w:val="24"/>
        </w:rPr>
        <w:t>: 10.1192/apt.bp.107.004192</w:t>
      </w:r>
      <w:r w:rsidR="008811F9">
        <w:rPr>
          <w:rFonts w:ascii="Helvetica" w:hAnsi="Helvetica" w:cs="Times New Roman"/>
          <w:sz w:val="16"/>
          <w:szCs w:val="24"/>
        </w:rPr>
        <w:t>.</w:t>
      </w:r>
    </w:p>
    <w:p w14:paraId="33AE92AA" w14:textId="25D4C0B3" w:rsidR="008B5AE6" w:rsidRPr="008B5AE6" w:rsidRDefault="008B5AE6" w:rsidP="008B5AE6">
      <w:pPr>
        <w:rPr>
          <w:rFonts w:ascii="Helvetica" w:hAnsi="Helvetica" w:cs="Times New Roman"/>
          <w:i/>
          <w:sz w:val="16"/>
          <w:szCs w:val="24"/>
        </w:rPr>
      </w:pPr>
      <w:r w:rsidRPr="008B5AE6">
        <w:rPr>
          <w:rFonts w:ascii="Helvetica" w:hAnsi="Helvetica" w:cs="Times New Roman"/>
          <w:sz w:val="16"/>
          <w:szCs w:val="24"/>
        </w:rPr>
        <w:t xml:space="preserve">Mead, S., Hilton, D., &amp; Curtis, L. (2001). Peer support: A theoretical perspective. </w:t>
      </w:r>
      <w:r w:rsidRPr="008B5AE6">
        <w:rPr>
          <w:rFonts w:ascii="Helvetica" w:hAnsi="Helvetica" w:cs="Times New Roman"/>
          <w:i/>
          <w:sz w:val="16"/>
          <w:szCs w:val="24"/>
        </w:rPr>
        <w:t>Psychiatric</w:t>
      </w:r>
      <w:r>
        <w:rPr>
          <w:rFonts w:ascii="Helvetica" w:hAnsi="Helvetica" w:cs="Times New Roman"/>
          <w:i/>
          <w:sz w:val="16"/>
          <w:szCs w:val="24"/>
        </w:rPr>
        <w:t xml:space="preserve"> </w:t>
      </w:r>
      <w:r w:rsidRPr="008B5AE6">
        <w:rPr>
          <w:rFonts w:ascii="Helvetica" w:hAnsi="Helvetica" w:cs="Times New Roman"/>
          <w:i/>
          <w:sz w:val="16"/>
          <w:szCs w:val="24"/>
        </w:rPr>
        <w:t>Rehabilitation Journal</w:t>
      </w:r>
      <w:r w:rsidRPr="008B5AE6">
        <w:rPr>
          <w:rFonts w:ascii="Helvetica" w:hAnsi="Helvetica" w:cs="Times New Roman"/>
          <w:sz w:val="16"/>
          <w:szCs w:val="24"/>
        </w:rPr>
        <w:t>, 25(2), 134–141.</w:t>
      </w:r>
    </w:p>
    <w:p w14:paraId="22813A11" w14:textId="25ED90B2" w:rsidR="00631BC0" w:rsidRPr="00631BC0" w:rsidRDefault="00631BC0" w:rsidP="00631BC0">
      <w:pPr>
        <w:rPr>
          <w:rFonts w:ascii="Helvetica" w:hAnsi="Helvetica" w:cs="Times New Roman"/>
          <w:sz w:val="16"/>
          <w:szCs w:val="24"/>
        </w:rPr>
      </w:pPr>
      <w:r w:rsidRPr="00631BC0">
        <w:rPr>
          <w:rFonts w:ascii="Helvetica" w:hAnsi="Helvetica" w:cs="Times New Roman"/>
          <w:sz w:val="16"/>
          <w:szCs w:val="24"/>
        </w:rPr>
        <w:t xml:space="preserve">Min, S., </w:t>
      </w:r>
      <w:proofErr w:type="spellStart"/>
      <w:r w:rsidRPr="00631BC0">
        <w:rPr>
          <w:rFonts w:ascii="Helvetica" w:hAnsi="Helvetica" w:cs="Times New Roman"/>
          <w:sz w:val="16"/>
          <w:szCs w:val="24"/>
        </w:rPr>
        <w:t>Whitecraft</w:t>
      </w:r>
      <w:proofErr w:type="spellEnd"/>
      <w:r w:rsidRPr="00631BC0">
        <w:rPr>
          <w:rFonts w:ascii="Helvetica" w:hAnsi="Helvetica" w:cs="Times New Roman"/>
          <w:sz w:val="16"/>
          <w:szCs w:val="24"/>
        </w:rPr>
        <w:t xml:space="preserve">, J., </w:t>
      </w:r>
      <w:proofErr w:type="spellStart"/>
      <w:r w:rsidRPr="00631BC0">
        <w:rPr>
          <w:rFonts w:ascii="Helvetica" w:hAnsi="Helvetica" w:cs="Times New Roman"/>
          <w:sz w:val="16"/>
          <w:szCs w:val="24"/>
        </w:rPr>
        <w:t>Rothband</w:t>
      </w:r>
      <w:proofErr w:type="spellEnd"/>
      <w:r w:rsidRPr="00631BC0">
        <w:rPr>
          <w:rFonts w:ascii="Helvetica" w:hAnsi="Helvetica" w:cs="Times New Roman"/>
          <w:sz w:val="16"/>
          <w:szCs w:val="24"/>
        </w:rPr>
        <w:t xml:space="preserve">, A.B., &amp; </w:t>
      </w:r>
      <w:proofErr w:type="spellStart"/>
      <w:r w:rsidRPr="00631BC0">
        <w:rPr>
          <w:rFonts w:ascii="Helvetica" w:hAnsi="Helvetica" w:cs="Times New Roman"/>
          <w:sz w:val="16"/>
          <w:szCs w:val="24"/>
        </w:rPr>
        <w:t>Salzer</w:t>
      </w:r>
      <w:proofErr w:type="spellEnd"/>
      <w:r w:rsidRPr="00631BC0">
        <w:rPr>
          <w:rFonts w:ascii="Helvetica" w:hAnsi="Helvetica" w:cs="Times New Roman"/>
          <w:sz w:val="16"/>
          <w:szCs w:val="24"/>
        </w:rPr>
        <w:t>, M.S. (2007). Peer support for persons with co-occurring</w:t>
      </w:r>
      <w:r>
        <w:rPr>
          <w:rFonts w:ascii="Helvetica" w:hAnsi="Helvetica" w:cs="Times New Roman"/>
          <w:sz w:val="16"/>
          <w:szCs w:val="24"/>
        </w:rPr>
        <w:t xml:space="preserve"> </w:t>
      </w:r>
      <w:r w:rsidRPr="00631BC0">
        <w:rPr>
          <w:rFonts w:ascii="Helvetica" w:hAnsi="Helvetica" w:cs="Times New Roman"/>
          <w:sz w:val="16"/>
          <w:szCs w:val="24"/>
        </w:rPr>
        <w:t xml:space="preserve">disorders and community tenure: A survival analysis. </w:t>
      </w:r>
      <w:r w:rsidRPr="00631BC0">
        <w:rPr>
          <w:rFonts w:ascii="Helvetica" w:hAnsi="Helvetica" w:cs="Times New Roman"/>
          <w:i/>
          <w:sz w:val="16"/>
          <w:szCs w:val="24"/>
        </w:rPr>
        <w:t>Psychiatric Rehabilitation Journal</w:t>
      </w:r>
      <w:r w:rsidRPr="00631BC0">
        <w:rPr>
          <w:rFonts w:ascii="Helvetica" w:hAnsi="Helvetica" w:cs="Times New Roman"/>
          <w:sz w:val="16"/>
          <w:szCs w:val="24"/>
        </w:rPr>
        <w:t>, 30(3), 207–213.</w:t>
      </w:r>
    </w:p>
    <w:p w14:paraId="2CB0ACD0" w14:textId="77777777" w:rsidR="00631BC0" w:rsidRDefault="00631BC0" w:rsidP="00631BC0">
      <w:pPr>
        <w:rPr>
          <w:rFonts w:ascii="Helvetica" w:hAnsi="Helvetica" w:cs="Times New Roman"/>
          <w:sz w:val="16"/>
          <w:szCs w:val="24"/>
        </w:rPr>
      </w:pPr>
      <w:proofErr w:type="spellStart"/>
      <w:r w:rsidRPr="00FE0369">
        <w:rPr>
          <w:rFonts w:ascii="Helvetica" w:hAnsi="Helvetica" w:cs="Times New Roman"/>
          <w:sz w:val="16"/>
          <w:szCs w:val="24"/>
        </w:rPr>
        <w:t>Minghella</w:t>
      </w:r>
      <w:proofErr w:type="spellEnd"/>
      <w:r w:rsidRPr="00FE0369">
        <w:rPr>
          <w:rFonts w:ascii="Helvetica" w:hAnsi="Helvetica" w:cs="Times New Roman"/>
          <w:sz w:val="16"/>
          <w:szCs w:val="24"/>
        </w:rPr>
        <w:t xml:space="preserve">, E., </w:t>
      </w:r>
      <w:proofErr w:type="gramStart"/>
      <w:r w:rsidRPr="00FE0369">
        <w:rPr>
          <w:rFonts w:ascii="Helvetica" w:hAnsi="Helvetica" w:cs="Times New Roman"/>
          <w:sz w:val="16"/>
          <w:szCs w:val="24"/>
        </w:rPr>
        <w:t>et al..</w:t>
      </w:r>
      <w:proofErr w:type="gramEnd"/>
      <w:r w:rsidRPr="00FE0369">
        <w:rPr>
          <w:rFonts w:ascii="Helvetica" w:hAnsi="Helvetica" w:cs="Times New Roman"/>
          <w:sz w:val="16"/>
          <w:szCs w:val="24"/>
        </w:rPr>
        <w:t xml:space="preserve"> (1998). Open all hours, 24-hour response for people with mental health emergencies. The Sainsbury Centre for Mental Health.</w:t>
      </w:r>
    </w:p>
    <w:p w14:paraId="78CDDFC7" w14:textId="77777777" w:rsidR="00631BC0" w:rsidRPr="00631BC0" w:rsidRDefault="00631BC0" w:rsidP="00631BC0">
      <w:pPr>
        <w:rPr>
          <w:rFonts w:ascii="Helvetica" w:hAnsi="Helvetica" w:cs="Times New Roman"/>
          <w:sz w:val="16"/>
          <w:szCs w:val="24"/>
        </w:rPr>
      </w:pPr>
      <w:r w:rsidRPr="00631BC0">
        <w:rPr>
          <w:rFonts w:ascii="Helvetica" w:hAnsi="Helvetica" w:cs="Times New Roman"/>
          <w:sz w:val="16"/>
          <w:szCs w:val="24"/>
        </w:rPr>
        <w:lastRenderedPageBreak/>
        <w:t xml:space="preserve">Nelson, G., </w:t>
      </w:r>
      <w:proofErr w:type="spellStart"/>
      <w:r w:rsidRPr="00631BC0">
        <w:rPr>
          <w:rFonts w:ascii="Helvetica" w:hAnsi="Helvetica" w:cs="Times New Roman"/>
          <w:sz w:val="16"/>
          <w:szCs w:val="24"/>
        </w:rPr>
        <w:t>Ochocka</w:t>
      </w:r>
      <w:proofErr w:type="spellEnd"/>
      <w:r w:rsidRPr="00631BC0">
        <w:rPr>
          <w:rFonts w:ascii="Helvetica" w:hAnsi="Helvetica" w:cs="Times New Roman"/>
          <w:sz w:val="16"/>
          <w:szCs w:val="24"/>
        </w:rPr>
        <w:t xml:space="preserve">, J., Janzen, R., &amp; Trainor, J. (2006). A longitudinal study of mental health consumer/survivor initiatives: Part 1 – Literature review and overview of the study. </w:t>
      </w:r>
      <w:r w:rsidRPr="00631BC0">
        <w:rPr>
          <w:rFonts w:ascii="Helvetica" w:hAnsi="Helvetica" w:cs="Times New Roman"/>
          <w:i/>
          <w:sz w:val="16"/>
          <w:szCs w:val="24"/>
        </w:rPr>
        <w:t>Journal of Community Psychology</w:t>
      </w:r>
      <w:r w:rsidRPr="00631BC0">
        <w:rPr>
          <w:rFonts w:ascii="Helvetica" w:hAnsi="Helvetica" w:cs="Times New Roman"/>
          <w:sz w:val="16"/>
          <w:szCs w:val="24"/>
        </w:rPr>
        <w:t>, 34(3), 247–260.</w:t>
      </w:r>
    </w:p>
    <w:p w14:paraId="56E37EAA" w14:textId="77777777" w:rsidR="00631BC0" w:rsidRDefault="00631BC0" w:rsidP="00631BC0">
      <w:pPr>
        <w:rPr>
          <w:rFonts w:ascii="Helvetica" w:hAnsi="Helvetica" w:cs="Helvetica"/>
          <w:color w:val="000000"/>
          <w:sz w:val="16"/>
          <w:szCs w:val="16"/>
        </w:rPr>
      </w:pPr>
      <w:r>
        <w:rPr>
          <w:rFonts w:ascii="Helvetica" w:hAnsi="Helvetica" w:cs="Helvetica"/>
          <w:color w:val="000000"/>
          <w:sz w:val="16"/>
          <w:szCs w:val="16"/>
        </w:rPr>
        <w:t xml:space="preserve">New Mexico Legislative Finance Committee. (2014). Results First: Adult Behavioral Health Programs. Found online at: </w:t>
      </w:r>
      <w:r w:rsidRPr="00015CAC">
        <w:rPr>
          <w:rFonts w:ascii="Helvetica" w:hAnsi="Helvetica" w:cs="Helvetica"/>
          <w:color w:val="000000"/>
          <w:sz w:val="16"/>
          <w:szCs w:val="16"/>
        </w:rPr>
        <w:t>https://www.nmlegis.gov/lcs/lfc/lfcdocs/resultsfirst/Evidence-Based%20Behavioral%20Health%20Programs%20to%20Improve%20Outcomes%20for%20Adults.pdf</w:t>
      </w:r>
    </w:p>
    <w:p w14:paraId="0D0EBD4C" w14:textId="77777777" w:rsidR="00631BC0" w:rsidRPr="00631BC0" w:rsidRDefault="00631BC0" w:rsidP="00631BC0">
      <w:pPr>
        <w:rPr>
          <w:rFonts w:ascii="Helvetica" w:hAnsi="Helvetica" w:cs="Times New Roman"/>
          <w:sz w:val="16"/>
          <w:szCs w:val="24"/>
        </w:rPr>
      </w:pPr>
      <w:r w:rsidRPr="00631BC0">
        <w:rPr>
          <w:rFonts w:ascii="Helvetica" w:hAnsi="Helvetica" w:cs="Times New Roman"/>
          <w:sz w:val="16"/>
          <w:szCs w:val="24"/>
        </w:rPr>
        <w:t xml:space="preserve">O’Donnell, M., Parker, G., &amp; </w:t>
      </w:r>
      <w:proofErr w:type="spellStart"/>
      <w:r w:rsidRPr="00631BC0">
        <w:rPr>
          <w:rFonts w:ascii="Helvetica" w:hAnsi="Helvetica" w:cs="Times New Roman"/>
          <w:sz w:val="16"/>
          <w:szCs w:val="24"/>
        </w:rPr>
        <w:t>Proberts</w:t>
      </w:r>
      <w:proofErr w:type="spellEnd"/>
      <w:r w:rsidRPr="00631BC0">
        <w:rPr>
          <w:rFonts w:ascii="Helvetica" w:hAnsi="Helvetica" w:cs="Times New Roman"/>
          <w:sz w:val="16"/>
          <w:szCs w:val="24"/>
        </w:rPr>
        <w:t xml:space="preserve">, M. (1999). A study of client-focused case management and consumer advocacy: The community and consumer service project. </w:t>
      </w:r>
      <w:r w:rsidRPr="00631BC0">
        <w:rPr>
          <w:rFonts w:ascii="Helvetica" w:hAnsi="Helvetica" w:cs="Times New Roman"/>
          <w:i/>
          <w:sz w:val="16"/>
          <w:szCs w:val="24"/>
        </w:rPr>
        <w:t>Australian and New Zealand Journal of Psychiatry</w:t>
      </w:r>
      <w:r w:rsidRPr="00631BC0">
        <w:rPr>
          <w:rFonts w:ascii="Helvetica" w:hAnsi="Helvetica" w:cs="Times New Roman"/>
          <w:sz w:val="16"/>
          <w:szCs w:val="24"/>
        </w:rPr>
        <w:t>, 33(5), 684–693.</w:t>
      </w:r>
    </w:p>
    <w:p w14:paraId="0980C496" w14:textId="77777777" w:rsidR="00631BC0" w:rsidRPr="00631BC0" w:rsidRDefault="00631BC0" w:rsidP="00631BC0">
      <w:pPr>
        <w:rPr>
          <w:rFonts w:ascii="Helvetica" w:hAnsi="Helvetica" w:cs="Times New Roman"/>
          <w:sz w:val="16"/>
          <w:szCs w:val="24"/>
        </w:rPr>
      </w:pPr>
      <w:proofErr w:type="spellStart"/>
      <w:r w:rsidRPr="00631BC0">
        <w:rPr>
          <w:rFonts w:ascii="Helvetica" w:hAnsi="Helvetica" w:cs="Times New Roman"/>
          <w:sz w:val="16"/>
          <w:szCs w:val="24"/>
        </w:rPr>
        <w:t>Ostrow</w:t>
      </w:r>
      <w:proofErr w:type="spellEnd"/>
      <w:r w:rsidRPr="00631BC0">
        <w:rPr>
          <w:rFonts w:ascii="Helvetica" w:hAnsi="Helvetica" w:cs="Times New Roman"/>
          <w:sz w:val="16"/>
          <w:szCs w:val="24"/>
        </w:rPr>
        <w:t>, L., Fisher, D. (2011). Peer-Run Crisis Respites: A Review of the Model and Opportunities for Future Developments in Research and Innovation.</w:t>
      </w:r>
    </w:p>
    <w:p w14:paraId="70A66D96" w14:textId="6DF16A2B" w:rsidR="00631BC0" w:rsidRPr="00631BC0" w:rsidRDefault="00631BC0" w:rsidP="00631BC0">
      <w:pPr>
        <w:rPr>
          <w:rFonts w:ascii="Helvetica" w:hAnsi="Helvetica" w:cs="Times New Roman"/>
          <w:sz w:val="16"/>
          <w:szCs w:val="24"/>
        </w:rPr>
      </w:pPr>
      <w:proofErr w:type="spellStart"/>
      <w:r w:rsidRPr="00631BC0">
        <w:rPr>
          <w:rFonts w:ascii="Helvetica" w:hAnsi="Helvetica" w:cs="Times New Roman"/>
          <w:sz w:val="16"/>
          <w:szCs w:val="24"/>
        </w:rPr>
        <w:t>Repper</w:t>
      </w:r>
      <w:proofErr w:type="spellEnd"/>
      <w:r w:rsidRPr="00631BC0">
        <w:rPr>
          <w:rFonts w:ascii="Helvetica" w:hAnsi="Helvetica" w:cs="Times New Roman"/>
          <w:sz w:val="16"/>
          <w:szCs w:val="24"/>
        </w:rPr>
        <w:t xml:space="preserve">, J., Carter, T. (2011). A Review of the Literature on Peer Support in Mental Health Services. </w:t>
      </w:r>
      <w:r w:rsidRPr="00631BC0">
        <w:rPr>
          <w:rFonts w:ascii="Helvetica" w:hAnsi="Helvetica" w:cs="Times New Roman"/>
          <w:i/>
          <w:sz w:val="16"/>
          <w:szCs w:val="24"/>
        </w:rPr>
        <w:t>Journal of Mental Health</w:t>
      </w:r>
      <w:r w:rsidRPr="00631BC0">
        <w:rPr>
          <w:rFonts w:ascii="Helvetica" w:hAnsi="Helvetica" w:cs="Times New Roman"/>
          <w:sz w:val="16"/>
          <w:szCs w:val="24"/>
        </w:rPr>
        <w:t>, 20(4), 392-411.</w:t>
      </w:r>
    </w:p>
    <w:p w14:paraId="5A0E21D9" w14:textId="3BE2EFF0" w:rsidR="00E421F2" w:rsidRDefault="00E421F2" w:rsidP="003359A0">
      <w:pPr>
        <w:rPr>
          <w:rFonts w:ascii="Helvetica" w:hAnsi="Helvetica" w:cs="Times New Roman"/>
          <w:bCs/>
          <w:sz w:val="16"/>
          <w:szCs w:val="24"/>
        </w:rPr>
      </w:pPr>
      <w:r w:rsidRPr="00E421F2">
        <w:rPr>
          <w:rFonts w:ascii="Helvetica" w:hAnsi="Helvetica" w:cs="Times New Roman"/>
          <w:bCs/>
          <w:sz w:val="16"/>
          <w:szCs w:val="24"/>
        </w:rPr>
        <w:t xml:space="preserve">Shapiro GK, </w:t>
      </w:r>
      <w:proofErr w:type="spellStart"/>
      <w:r w:rsidRPr="00E421F2">
        <w:rPr>
          <w:rFonts w:ascii="Helvetica" w:hAnsi="Helvetica" w:cs="Times New Roman"/>
          <w:bCs/>
          <w:sz w:val="16"/>
          <w:szCs w:val="24"/>
        </w:rPr>
        <w:t>Cusi</w:t>
      </w:r>
      <w:proofErr w:type="spellEnd"/>
      <w:r w:rsidRPr="00E421F2">
        <w:rPr>
          <w:rFonts w:ascii="Helvetica" w:hAnsi="Helvetica" w:cs="Times New Roman"/>
          <w:bCs/>
          <w:sz w:val="16"/>
          <w:szCs w:val="24"/>
        </w:rPr>
        <w:t xml:space="preserve"> A, Kirst M, </w:t>
      </w:r>
      <w:proofErr w:type="spellStart"/>
      <w:r w:rsidRPr="00E421F2">
        <w:rPr>
          <w:rFonts w:ascii="Helvetica" w:hAnsi="Helvetica" w:cs="Times New Roman"/>
          <w:bCs/>
          <w:sz w:val="16"/>
          <w:szCs w:val="24"/>
        </w:rPr>
        <w:t>O’Campo</w:t>
      </w:r>
      <w:proofErr w:type="spellEnd"/>
      <w:r w:rsidRPr="00E421F2">
        <w:rPr>
          <w:rFonts w:ascii="Helvetica" w:hAnsi="Helvetica" w:cs="Times New Roman"/>
          <w:bCs/>
          <w:sz w:val="16"/>
          <w:szCs w:val="24"/>
        </w:rPr>
        <w:t xml:space="preserve"> P, </w:t>
      </w:r>
      <w:proofErr w:type="spellStart"/>
      <w:r w:rsidRPr="00E421F2">
        <w:rPr>
          <w:rFonts w:ascii="Helvetica" w:hAnsi="Helvetica" w:cs="Times New Roman"/>
          <w:bCs/>
          <w:sz w:val="16"/>
          <w:szCs w:val="24"/>
        </w:rPr>
        <w:t>Nakhost</w:t>
      </w:r>
      <w:proofErr w:type="spellEnd"/>
      <w:r w:rsidRPr="00E421F2">
        <w:rPr>
          <w:rFonts w:ascii="Helvetica" w:hAnsi="Helvetica" w:cs="Times New Roman"/>
          <w:bCs/>
          <w:sz w:val="16"/>
          <w:szCs w:val="24"/>
        </w:rPr>
        <w:t xml:space="preserve"> A, </w:t>
      </w:r>
      <w:proofErr w:type="spellStart"/>
      <w:r w:rsidRPr="00E421F2">
        <w:rPr>
          <w:rFonts w:ascii="Helvetica" w:hAnsi="Helvetica" w:cs="Times New Roman"/>
          <w:bCs/>
          <w:sz w:val="16"/>
          <w:szCs w:val="24"/>
        </w:rPr>
        <w:t>Stergiopoulos</w:t>
      </w:r>
      <w:proofErr w:type="spellEnd"/>
      <w:r w:rsidRPr="00E421F2">
        <w:rPr>
          <w:rFonts w:ascii="Helvetica" w:hAnsi="Helvetica" w:cs="Times New Roman"/>
          <w:bCs/>
          <w:sz w:val="16"/>
          <w:szCs w:val="24"/>
        </w:rPr>
        <w:t xml:space="preserve"> V. </w:t>
      </w:r>
      <w:r>
        <w:rPr>
          <w:rFonts w:ascii="Helvetica" w:hAnsi="Helvetica" w:cs="Times New Roman"/>
          <w:bCs/>
          <w:sz w:val="16"/>
          <w:szCs w:val="24"/>
        </w:rPr>
        <w:t xml:space="preserve">(2014). </w:t>
      </w:r>
      <w:r w:rsidRPr="00E421F2">
        <w:rPr>
          <w:rFonts w:ascii="Helvetica" w:hAnsi="Helvetica" w:cs="Times New Roman"/>
          <w:bCs/>
          <w:sz w:val="16"/>
          <w:szCs w:val="24"/>
        </w:rPr>
        <w:t>Co-responding police-mental health programs: a review. Adm</w:t>
      </w:r>
      <w:r w:rsidR="00C9145F">
        <w:rPr>
          <w:rFonts w:ascii="Helvetica" w:hAnsi="Helvetica" w:cs="Times New Roman"/>
          <w:bCs/>
          <w:sz w:val="16"/>
          <w:szCs w:val="24"/>
        </w:rPr>
        <w:t>.</w:t>
      </w:r>
      <w:r w:rsidRPr="00E421F2">
        <w:rPr>
          <w:rFonts w:ascii="Helvetica" w:hAnsi="Helvetica" w:cs="Times New Roman"/>
          <w:bCs/>
          <w:sz w:val="16"/>
          <w:szCs w:val="24"/>
        </w:rPr>
        <w:t xml:space="preserve"> Policy Ment</w:t>
      </w:r>
      <w:r w:rsidR="00C9145F">
        <w:rPr>
          <w:rFonts w:ascii="Helvetica" w:hAnsi="Helvetica" w:cs="Times New Roman"/>
          <w:bCs/>
          <w:sz w:val="16"/>
          <w:szCs w:val="24"/>
        </w:rPr>
        <w:t>al</w:t>
      </w:r>
      <w:r w:rsidRPr="00E421F2">
        <w:rPr>
          <w:rFonts w:ascii="Helvetica" w:hAnsi="Helvetica" w:cs="Times New Roman"/>
          <w:bCs/>
          <w:sz w:val="16"/>
          <w:szCs w:val="24"/>
        </w:rPr>
        <w:t xml:space="preserve"> Heal</w:t>
      </w:r>
      <w:r w:rsidR="00C9145F">
        <w:rPr>
          <w:rFonts w:ascii="Helvetica" w:hAnsi="Helvetica" w:cs="Times New Roman"/>
          <w:bCs/>
          <w:sz w:val="16"/>
          <w:szCs w:val="24"/>
        </w:rPr>
        <w:t>th</w:t>
      </w:r>
      <w:r w:rsidRPr="00E421F2">
        <w:rPr>
          <w:rFonts w:ascii="Helvetica" w:hAnsi="Helvetica" w:cs="Times New Roman"/>
          <w:bCs/>
          <w:sz w:val="16"/>
          <w:szCs w:val="24"/>
        </w:rPr>
        <w:t xml:space="preserve"> Ment</w:t>
      </w:r>
      <w:r w:rsidR="00C9145F">
        <w:rPr>
          <w:rFonts w:ascii="Helvetica" w:hAnsi="Helvetica" w:cs="Times New Roman"/>
          <w:bCs/>
          <w:sz w:val="16"/>
          <w:szCs w:val="24"/>
        </w:rPr>
        <w:t>al</w:t>
      </w:r>
      <w:r w:rsidRPr="00E421F2">
        <w:rPr>
          <w:rFonts w:ascii="Helvetica" w:hAnsi="Helvetica" w:cs="Times New Roman"/>
          <w:bCs/>
          <w:sz w:val="16"/>
          <w:szCs w:val="24"/>
        </w:rPr>
        <w:t xml:space="preserve"> Heal</w:t>
      </w:r>
      <w:r w:rsidR="00C9145F">
        <w:rPr>
          <w:rFonts w:ascii="Helvetica" w:hAnsi="Helvetica" w:cs="Times New Roman"/>
          <w:bCs/>
          <w:sz w:val="16"/>
          <w:szCs w:val="24"/>
        </w:rPr>
        <w:t>th</w:t>
      </w:r>
      <w:r w:rsidRPr="00E421F2">
        <w:rPr>
          <w:rFonts w:ascii="Helvetica" w:hAnsi="Helvetica" w:cs="Times New Roman"/>
          <w:bCs/>
          <w:sz w:val="16"/>
          <w:szCs w:val="24"/>
        </w:rPr>
        <w:t xml:space="preserve"> Serv</w:t>
      </w:r>
      <w:r w:rsidR="00C9145F">
        <w:rPr>
          <w:rFonts w:ascii="Helvetica" w:hAnsi="Helvetica" w:cs="Times New Roman"/>
          <w:bCs/>
          <w:sz w:val="16"/>
          <w:szCs w:val="24"/>
        </w:rPr>
        <w:t>ice</w:t>
      </w:r>
      <w:r w:rsidRPr="00E421F2">
        <w:rPr>
          <w:rFonts w:ascii="Helvetica" w:hAnsi="Helvetica" w:cs="Times New Roman"/>
          <w:bCs/>
          <w:sz w:val="16"/>
          <w:szCs w:val="24"/>
        </w:rPr>
        <w:t xml:space="preserve"> Res. </w:t>
      </w:r>
      <w:proofErr w:type="gramStart"/>
      <w:r w:rsidRPr="00E421F2">
        <w:rPr>
          <w:rFonts w:ascii="Helvetica" w:hAnsi="Helvetica" w:cs="Times New Roman"/>
          <w:bCs/>
          <w:sz w:val="16"/>
          <w:szCs w:val="24"/>
        </w:rPr>
        <w:t>2014;42:606</w:t>
      </w:r>
      <w:proofErr w:type="gramEnd"/>
      <w:r w:rsidRPr="00E421F2">
        <w:rPr>
          <w:rFonts w:ascii="Helvetica" w:hAnsi="Helvetica" w:cs="Times New Roman"/>
          <w:bCs/>
          <w:sz w:val="16"/>
          <w:szCs w:val="24"/>
        </w:rPr>
        <w:t>–20. Available from: http://dx.doi.org/10.1007/s10488-014-0594-9.</w:t>
      </w:r>
    </w:p>
    <w:p w14:paraId="6B358CDC" w14:textId="77777777" w:rsidR="001C6323" w:rsidRPr="001C6323" w:rsidRDefault="001C6323" w:rsidP="001C6323">
      <w:pPr>
        <w:rPr>
          <w:rFonts w:ascii="Helvetica" w:hAnsi="Helvetica" w:cs="Times New Roman"/>
          <w:sz w:val="16"/>
          <w:szCs w:val="24"/>
        </w:rPr>
      </w:pPr>
      <w:r w:rsidRPr="001C6323">
        <w:rPr>
          <w:rFonts w:ascii="Helvetica" w:hAnsi="Helvetica" w:cs="Times New Roman"/>
          <w:sz w:val="16"/>
          <w:szCs w:val="24"/>
        </w:rPr>
        <w:t xml:space="preserve">Simpson, A., et al. (2014). Results of a pilot </w:t>
      </w:r>
      <w:proofErr w:type="spellStart"/>
      <w:r w:rsidRPr="001C6323">
        <w:rPr>
          <w:rFonts w:ascii="Helvetica" w:hAnsi="Helvetica" w:cs="Times New Roman"/>
          <w:sz w:val="16"/>
          <w:szCs w:val="24"/>
        </w:rPr>
        <w:t>randomised</w:t>
      </w:r>
      <w:proofErr w:type="spellEnd"/>
      <w:r w:rsidRPr="001C6323">
        <w:rPr>
          <w:rFonts w:ascii="Helvetica" w:hAnsi="Helvetica" w:cs="Times New Roman"/>
          <w:sz w:val="16"/>
          <w:szCs w:val="24"/>
        </w:rPr>
        <w:t xml:space="preserve"> controlled trial to measure the clinical and cost effectiveness of peer support in increasing hope and quality of life in mental health patients discharged from hospital in the UK. </w:t>
      </w:r>
      <w:r w:rsidRPr="001C6323">
        <w:rPr>
          <w:rFonts w:ascii="Helvetica" w:hAnsi="Helvetica" w:cs="Times New Roman"/>
          <w:i/>
          <w:iCs/>
          <w:sz w:val="16"/>
          <w:szCs w:val="24"/>
        </w:rPr>
        <w:t>BMC Psychiatry, 14</w:t>
      </w:r>
      <w:r w:rsidRPr="001C6323">
        <w:rPr>
          <w:rFonts w:ascii="Helvetica" w:hAnsi="Helvetica" w:cs="Times New Roman"/>
          <w:sz w:val="16"/>
          <w:szCs w:val="24"/>
        </w:rPr>
        <w:t xml:space="preserve">(30). doi:10.1186/1471-244X-14-303 </w:t>
      </w:r>
    </w:p>
    <w:p w14:paraId="66617056" w14:textId="0069D088" w:rsidR="00631BC0" w:rsidRPr="00631BC0" w:rsidRDefault="001C6323" w:rsidP="001C6323">
      <w:pPr>
        <w:rPr>
          <w:rFonts w:ascii="Helvetica" w:hAnsi="Helvetica" w:cs="Times New Roman"/>
          <w:sz w:val="16"/>
          <w:szCs w:val="24"/>
        </w:rPr>
      </w:pPr>
      <w:r w:rsidRPr="001C6323">
        <w:rPr>
          <w:rFonts w:ascii="Helvetica" w:hAnsi="Helvetica" w:cs="Times New Roman"/>
          <w:sz w:val="16"/>
          <w:szCs w:val="24"/>
        </w:rPr>
        <w:t xml:space="preserve"> </w:t>
      </w:r>
      <w:r w:rsidR="00631BC0" w:rsidRPr="00631BC0">
        <w:rPr>
          <w:rFonts w:ascii="Helvetica" w:hAnsi="Helvetica" w:cs="Times New Roman"/>
          <w:sz w:val="16"/>
          <w:szCs w:val="24"/>
        </w:rPr>
        <w:t xml:space="preserve">Solomon, P., &amp; </w:t>
      </w:r>
      <w:proofErr w:type="spellStart"/>
      <w:r w:rsidR="00631BC0" w:rsidRPr="00631BC0">
        <w:rPr>
          <w:rFonts w:ascii="Helvetica" w:hAnsi="Helvetica" w:cs="Times New Roman"/>
          <w:sz w:val="16"/>
          <w:szCs w:val="24"/>
        </w:rPr>
        <w:t>Draine</w:t>
      </w:r>
      <w:proofErr w:type="spellEnd"/>
      <w:r w:rsidR="00631BC0" w:rsidRPr="00631BC0">
        <w:rPr>
          <w:rFonts w:ascii="Helvetica" w:hAnsi="Helvetica" w:cs="Times New Roman"/>
          <w:sz w:val="16"/>
          <w:szCs w:val="24"/>
        </w:rPr>
        <w:t xml:space="preserve">, J. (1995). The efficacy of a consumer case management team: Two-year outcomes of a randomized trial. </w:t>
      </w:r>
      <w:r w:rsidR="00631BC0" w:rsidRPr="00631BC0">
        <w:rPr>
          <w:rFonts w:ascii="Helvetica" w:hAnsi="Helvetica" w:cs="Times New Roman"/>
          <w:i/>
          <w:sz w:val="16"/>
          <w:szCs w:val="24"/>
        </w:rPr>
        <w:t>Journal of Mental Health Administration</w:t>
      </w:r>
      <w:r w:rsidR="00631BC0" w:rsidRPr="00631BC0">
        <w:rPr>
          <w:rFonts w:ascii="Helvetica" w:hAnsi="Helvetica" w:cs="Times New Roman"/>
          <w:sz w:val="16"/>
          <w:szCs w:val="24"/>
        </w:rPr>
        <w:t>, 22, 135–146.</w:t>
      </w:r>
    </w:p>
    <w:p w14:paraId="7F228519" w14:textId="77777777" w:rsidR="008C2249" w:rsidRPr="001274E5" w:rsidRDefault="008C2249" w:rsidP="008C2249">
      <w:pPr>
        <w:rPr>
          <w:rFonts w:ascii="Helvetica" w:hAnsi="Helvetica"/>
          <w:sz w:val="16"/>
        </w:rPr>
      </w:pPr>
      <w:r w:rsidRPr="001274E5">
        <w:rPr>
          <w:rFonts w:ascii="Helvetica" w:hAnsi="Helvetica"/>
          <w:sz w:val="16"/>
        </w:rPr>
        <w:t>Substance Abuse and Mental Health Services Administration/</w:t>
      </w:r>
      <w:r>
        <w:rPr>
          <w:rFonts w:ascii="Helvetica" w:hAnsi="Helvetica"/>
          <w:sz w:val="16"/>
        </w:rPr>
        <w:t>Recovery Community Services Program. (2009).</w:t>
      </w:r>
      <w:r w:rsidRPr="001274E5">
        <w:rPr>
          <w:rFonts w:ascii="Helvetica" w:hAnsi="Helvetica"/>
          <w:sz w:val="16"/>
        </w:rPr>
        <w:t xml:space="preserve"> </w:t>
      </w:r>
      <w:r>
        <w:rPr>
          <w:rFonts w:ascii="Helvetica" w:hAnsi="Helvetica"/>
          <w:sz w:val="16"/>
        </w:rPr>
        <w:t>What Are Peer Recovery Support Services? Rockville, MD: HHS Publication No. (SMA) 09-4454.</w:t>
      </w:r>
    </w:p>
    <w:p w14:paraId="6A59032B" w14:textId="77777777" w:rsidR="008C2249" w:rsidRPr="00A7583B" w:rsidRDefault="008C2249" w:rsidP="008C2249">
      <w:pPr>
        <w:rPr>
          <w:rFonts w:ascii="Helvetica" w:hAnsi="Helvetica" w:cs="Times New Roman"/>
          <w:bCs/>
          <w:sz w:val="16"/>
          <w:szCs w:val="24"/>
        </w:rPr>
      </w:pPr>
      <w:r w:rsidRPr="00A7583B">
        <w:rPr>
          <w:rFonts w:ascii="Helvetica" w:hAnsi="Helvetica" w:cs="Times New Roman"/>
          <w:bCs/>
          <w:sz w:val="16"/>
          <w:szCs w:val="24"/>
        </w:rPr>
        <w:t>Substance Abuse and Mental Health Services Administration</w:t>
      </w:r>
      <w:r>
        <w:rPr>
          <w:rFonts w:ascii="Helvetica" w:hAnsi="Helvetica" w:cs="Times New Roman"/>
          <w:bCs/>
          <w:sz w:val="16"/>
          <w:szCs w:val="24"/>
        </w:rPr>
        <w:t>//</w:t>
      </w:r>
      <w:r w:rsidRPr="00A7583B">
        <w:rPr>
          <w:rFonts w:ascii="Helvetica" w:hAnsi="Helvetica" w:cs="Times New Roman"/>
          <w:bCs/>
          <w:sz w:val="16"/>
          <w:szCs w:val="24"/>
        </w:rPr>
        <w:t xml:space="preserve">Center for Mental Health Services. </w:t>
      </w:r>
      <w:r>
        <w:rPr>
          <w:rFonts w:ascii="Helvetica" w:hAnsi="Helvetica" w:cs="Times New Roman"/>
          <w:bCs/>
          <w:sz w:val="16"/>
          <w:szCs w:val="24"/>
        </w:rPr>
        <w:t xml:space="preserve">(2011). </w:t>
      </w:r>
      <w:r w:rsidRPr="00A7583B">
        <w:rPr>
          <w:rFonts w:ascii="Helvetica" w:hAnsi="Helvetica" w:cs="Times New Roman"/>
          <w:bCs/>
          <w:iCs/>
          <w:sz w:val="16"/>
          <w:szCs w:val="24"/>
        </w:rPr>
        <w:t>Consumer-Operated Services: The Evidence</w:t>
      </w:r>
      <w:r w:rsidRPr="00A7583B">
        <w:rPr>
          <w:rFonts w:ascii="Helvetica" w:hAnsi="Helvetica" w:cs="Times New Roman"/>
          <w:bCs/>
          <w:sz w:val="16"/>
          <w:szCs w:val="24"/>
        </w:rPr>
        <w:t>. Rockville, MD:</w:t>
      </w:r>
      <w:r>
        <w:rPr>
          <w:rFonts w:ascii="Helvetica" w:hAnsi="Helvetica" w:cs="Times New Roman"/>
          <w:bCs/>
          <w:sz w:val="16"/>
          <w:szCs w:val="24"/>
        </w:rPr>
        <w:t xml:space="preserve"> HHS Pub. No. SMA-11-4633.</w:t>
      </w:r>
    </w:p>
    <w:p w14:paraId="2444BE35" w14:textId="3E6E1779" w:rsidR="003359A0" w:rsidRPr="003359A0" w:rsidRDefault="003359A0" w:rsidP="003359A0">
      <w:pPr>
        <w:rPr>
          <w:rFonts w:ascii="Times New Roman" w:hAnsi="Times New Roman" w:cs="Times New Roman"/>
          <w:sz w:val="24"/>
          <w:szCs w:val="24"/>
          <w:u w:val="single"/>
        </w:rPr>
      </w:pPr>
    </w:p>
    <w:p w14:paraId="52F9E3C3" w14:textId="77777777" w:rsidR="00EA4387" w:rsidRPr="000F65B9" w:rsidRDefault="00EA4387" w:rsidP="00EA4387">
      <w:pPr>
        <w:pStyle w:val="ListParagraph"/>
        <w:rPr>
          <w:rFonts w:ascii="Times New Roman" w:hAnsi="Times New Roman" w:cs="Times New Roman"/>
          <w:sz w:val="24"/>
          <w:szCs w:val="24"/>
          <w:u w:val="single"/>
        </w:rPr>
      </w:pPr>
    </w:p>
    <w:p w14:paraId="71403480" w14:textId="77777777" w:rsidR="00FC162B" w:rsidRDefault="00FC162B" w:rsidP="000F65B9">
      <w:pPr>
        <w:rPr>
          <w:rFonts w:ascii="Times New Roman" w:hAnsi="Times New Roman" w:cs="Times New Roman"/>
          <w:i/>
          <w:sz w:val="24"/>
          <w:szCs w:val="24"/>
        </w:rPr>
        <w:sectPr w:rsidR="00FC162B">
          <w:pgSz w:w="12240" w:h="15840"/>
          <w:pgMar w:top="1440" w:right="1440" w:bottom="1440" w:left="1440" w:header="720" w:footer="720" w:gutter="0"/>
          <w:cols w:space="720"/>
          <w:docGrid w:linePitch="360"/>
        </w:sectPr>
      </w:pPr>
    </w:p>
    <w:p w14:paraId="0C202ABB" w14:textId="3E9B4DD7" w:rsidR="003759E7" w:rsidRPr="009573B6" w:rsidRDefault="007A7A86"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SECTION 6</w:t>
      </w:r>
      <w:r w:rsidR="003759E7">
        <w:rPr>
          <w:rFonts w:ascii="Times New Roman" w:hAnsi="Times New Roman" w:cs="Times New Roman"/>
          <w:b/>
          <w:sz w:val="24"/>
          <w:szCs w:val="24"/>
        </w:rPr>
        <w:t>: Description of Intended Intervention</w:t>
      </w:r>
    </w:p>
    <w:p w14:paraId="5FFB1961" w14:textId="0030BC55" w:rsidR="006001A6" w:rsidRDefault="000F31CB" w:rsidP="006001A6">
      <w:r>
        <w:t xml:space="preserve">In addressing the stated problem, </w:t>
      </w:r>
      <w:r w:rsidR="00C9145F">
        <w:t xml:space="preserve">officials in </w:t>
      </w:r>
      <w:r>
        <w:t xml:space="preserve">Bernalillo </w:t>
      </w:r>
      <w:r w:rsidR="00C9145F">
        <w:t xml:space="preserve">determined to support a CET </w:t>
      </w:r>
      <w:r w:rsidRPr="000F31CB">
        <w:t xml:space="preserve">program, </w:t>
      </w:r>
      <w:r>
        <w:t xml:space="preserve">partly </w:t>
      </w:r>
      <w:r w:rsidRPr="000F31CB">
        <w:t xml:space="preserve">modeled after </w:t>
      </w:r>
      <w:r>
        <w:t>the crisis resolu</w:t>
      </w:r>
      <w:r w:rsidR="00C9145F">
        <w:t>tion/home treatment teams</w:t>
      </w:r>
      <w:r w:rsidR="00D408BB">
        <w:t xml:space="preserve"> in the UK</w:t>
      </w:r>
      <w:r>
        <w:t>. L</w:t>
      </w:r>
      <w:r w:rsidRPr="000F31CB">
        <w:t xml:space="preserve">ocally </w:t>
      </w:r>
      <w:r>
        <w:t>the CRHT concept has been conceived as an intervention for sub</w:t>
      </w:r>
      <w:r w:rsidR="00613AE3">
        <w:t>-</w:t>
      </w:r>
      <w:r>
        <w:t>acute clients</w:t>
      </w:r>
      <w:r w:rsidR="0025527F">
        <w:t>. Sub-acute in this context is a person who is either becoming acutely psychiatrically unwell</w:t>
      </w:r>
      <w:r w:rsidR="00F73DC7">
        <w:t xml:space="preserve"> </w:t>
      </w:r>
      <w:r w:rsidR="00F73DC7" w:rsidRPr="006001A6">
        <w:t>(whether or not they have previously been acutely mentally ill) or who is recovering from an episode of acute psychiatric illness</w:t>
      </w:r>
      <w:r w:rsidR="00F73DC7">
        <w:t xml:space="preserve"> </w:t>
      </w:r>
      <w:r w:rsidR="00FC3E4A">
        <w:t>(MHCH, 2011)</w:t>
      </w:r>
      <w:r w:rsidR="00F73DC7" w:rsidRPr="006001A6">
        <w:t>.</w:t>
      </w:r>
      <w:r>
        <w:t xml:space="preserve"> Titled </w:t>
      </w:r>
      <w:r w:rsidRPr="000F31CB">
        <w:t>“</w:t>
      </w:r>
      <w:r>
        <w:t xml:space="preserve">Community Engagement Team” (CET) </w:t>
      </w:r>
      <w:r w:rsidR="00D408BB">
        <w:t>the local</w:t>
      </w:r>
      <w:r w:rsidR="0072413F">
        <w:t xml:space="preserve"> program focuses</w:t>
      </w:r>
      <w:r w:rsidRPr="000F31CB">
        <w:t xml:space="preserve"> on </w:t>
      </w:r>
      <w:r w:rsidR="0072413F">
        <w:t>intervening with sub-acute clients</w:t>
      </w:r>
      <w:r w:rsidR="00D408BB">
        <w:t>.</w:t>
      </w:r>
    </w:p>
    <w:p w14:paraId="0EFE91ED" w14:textId="2176BFB5" w:rsidR="006001A6" w:rsidRDefault="00D408BB" w:rsidP="006001A6">
      <w:r>
        <w:t xml:space="preserve">In Bernalillo </w:t>
      </w:r>
      <w:r w:rsidR="00613AE3">
        <w:t>C</w:t>
      </w:r>
      <w:r>
        <w:t xml:space="preserve">ounty a </w:t>
      </w:r>
      <w:r w:rsidR="006001A6">
        <w:t xml:space="preserve">Community Engagement Team </w:t>
      </w:r>
      <w:r>
        <w:t>is envisioned as having the following characteristics and providing the following services.</w:t>
      </w:r>
    </w:p>
    <w:p w14:paraId="0499DC10" w14:textId="5730E6BF" w:rsidR="006001A6" w:rsidRPr="006001A6" w:rsidRDefault="006001A6" w:rsidP="00D408BB">
      <w:pPr>
        <w:pStyle w:val="ListParagraph"/>
        <w:numPr>
          <w:ilvl w:val="0"/>
          <w:numId w:val="13"/>
        </w:numPr>
        <w:contextualSpacing w:val="0"/>
      </w:pPr>
      <w:r w:rsidRPr="006001A6">
        <w:t>A team of individuals capable of assisting people who voluntarily want assistance, are not in acute crisis, and do not require immediate hospitalization.</w:t>
      </w:r>
    </w:p>
    <w:p w14:paraId="1D9BF5A1" w14:textId="77777777" w:rsidR="006001A6" w:rsidRPr="006001A6" w:rsidRDefault="006001A6" w:rsidP="00D408BB">
      <w:pPr>
        <w:pStyle w:val="ListParagraph"/>
        <w:numPr>
          <w:ilvl w:val="0"/>
          <w:numId w:val="13"/>
        </w:numPr>
        <w:contextualSpacing w:val="0"/>
      </w:pPr>
      <w:r w:rsidRPr="006001A6">
        <w:t>The target population is people who are having a sub-acute mental health episode. Sub-acute mental health care refers to care for a person who is either becoming acutely psychiatrically unwell (whether or not they have previously been acutely mentally ill) or who is recovering from an episode of acute psychiatric illness.</w:t>
      </w:r>
    </w:p>
    <w:p w14:paraId="032AF496" w14:textId="77777777" w:rsidR="006001A6" w:rsidRPr="006001A6" w:rsidRDefault="006001A6" w:rsidP="00D408BB">
      <w:pPr>
        <w:pStyle w:val="ListParagraph"/>
        <w:numPr>
          <w:ilvl w:val="0"/>
          <w:numId w:val="13"/>
        </w:numPr>
        <w:contextualSpacing w:val="0"/>
      </w:pPr>
      <w:r w:rsidRPr="006001A6">
        <w:t>The team offers clients practical support, such as help with resolving pressing financial, housing, or childcare problems, getting home into a habitable state, and obtaining food or medications.</w:t>
      </w:r>
    </w:p>
    <w:p w14:paraId="21F5E2D4" w14:textId="77777777" w:rsidR="006001A6" w:rsidRPr="006001A6" w:rsidRDefault="006001A6" w:rsidP="00D408BB">
      <w:pPr>
        <w:pStyle w:val="ListParagraph"/>
        <w:numPr>
          <w:ilvl w:val="0"/>
          <w:numId w:val="13"/>
        </w:numPr>
        <w:contextualSpacing w:val="0"/>
      </w:pPr>
      <w:r w:rsidRPr="006001A6">
        <w:t>Clients have opportunities to talk through current problems with team staff, in addition to brief interventions aimed at increasing the persons’ problem-solving abilities and activities of daily living skills.</w:t>
      </w:r>
    </w:p>
    <w:p w14:paraId="710BABAB" w14:textId="77777777" w:rsidR="006001A6" w:rsidRPr="006001A6" w:rsidRDefault="006001A6" w:rsidP="00D408BB">
      <w:pPr>
        <w:pStyle w:val="ListParagraph"/>
        <w:numPr>
          <w:ilvl w:val="0"/>
          <w:numId w:val="13"/>
        </w:numPr>
        <w:contextualSpacing w:val="0"/>
      </w:pPr>
      <w:r w:rsidRPr="006001A6">
        <w:t>The team refers clients and follows up to see if clients connect with referrals. Also teams provide clients and interested people with education about mental health problems for clients and their social network. Education curriculum includes identification and discussion of potential triggers to mental health episodes, including difficulties in family and other important relationships.</w:t>
      </w:r>
    </w:p>
    <w:p w14:paraId="67C5A8FE" w14:textId="77777777" w:rsidR="006001A6" w:rsidRPr="006001A6" w:rsidRDefault="006001A6" w:rsidP="00D408BB">
      <w:pPr>
        <w:pStyle w:val="ListParagraph"/>
        <w:numPr>
          <w:ilvl w:val="0"/>
          <w:numId w:val="13"/>
        </w:numPr>
        <w:contextualSpacing w:val="0"/>
      </w:pPr>
      <w:r w:rsidRPr="006001A6">
        <w:t>Relapse prevention work and planning for management of future crises is also offered.</w:t>
      </w:r>
    </w:p>
    <w:p w14:paraId="24F10B71" w14:textId="77777777" w:rsidR="006001A6" w:rsidRPr="006001A6" w:rsidRDefault="006001A6" w:rsidP="00D408BB">
      <w:pPr>
        <w:pStyle w:val="ListParagraph"/>
        <w:numPr>
          <w:ilvl w:val="0"/>
          <w:numId w:val="13"/>
        </w:numPr>
        <w:contextualSpacing w:val="0"/>
      </w:pPr>
      <w:r w:rsidRPr="006001A6">
        <w:t>Rapid response by the team is offered in the community within 24 hours when needed.</w:t>
      </w:r>
    </w:p>
    <w:p w14:paraId="4E50A87F" w14:textId="77777777" w:rsidR="006001A6" w:rsidRPr="006001A6" w:rsidRDefault="006001A6" w:rsidP="00D408BB">
      <w:pPr>
        <w:pStyle w:val="ListParagraph"/>
        <w:numPr>
          <w:ilvl w:val="0"/>
          <w:numId w:val="13"/>
        </w:numPr>
        <w:contextualSpacing w:val="0"/>
      </w:pPr>
      <w:r w:rsidRPr="006001A6">
        <w:t>Brief home intervention is offered rather than hospital admission. No treatment is offered.</w:t>
      </w:r>
    </w:p>
    <w:p w14:paraId="075CDDB1" w14:textId="77777777" w:rsidR="006001A6" w:rsidRPr="006001A6" w:rsidRDefault="006001A6" w:rsidP="00D408BB">
      <w:pPr>
        <w:pStyle w:val="ListParagraph"/>
        <w:numPr>
          <w:ilvl w:val="0"/>
          <w:numId w:val="13"/>
        </w:numPr>
        <w:contextualSpacing w:val="0"/>
      </w:pPr>
      <w:r w:rsidRPr="006001A6">
        <w:t>Low client team ratio allows the team the time for multiple visits daily to see the client when necessary.</w:t>
      </w:r>
    </w:p>
    <w:p w14:paraId="10B182B4" w14:textId="77777777" w:rsidR="006001A6" w:rsidRPr="006001A6" w:rsidRDefault="006001A6" w:rsidP="00D408BB">
      <w:pPr>
        <w:pStyle w:val="ListParagraph"/>
        <w:numPr>
          <w:ilvl w:val="0"/>
          <w:numId w:val="13"/>
        </w:numPr>
        <w:contextualSpacing w:val="0"/>
      </w:pPr>
      <w:r w:rsidRPr="006001A6">
        <w:t>When the team is full composed 24-hour availability could be offered.</w:t>
      </w:r>
    </w:p>
    <w:p w14:paraId="04EFFE19" w14:textId="77777777" w:rsidR="006001A6" w:rsidRPr="006001A6" w:rsidRDefault="006001A6" w:rsidP="00D408BB">
      <w:pPr>
        <w:pStyle w:val="ListParagraph"/>
        <w:numPr>
          <w:ilvl w:val="0"/>
          <w:numId w:val="13"/>
        </w:numPr>
        <w:contextualSpacing w:val="0"/>
      </w:pPr>
      <w:r w:rsidRPr="006001A6">
        <w:lastRenderedPageBreak/>
        <w:t>The team works in partnership with agencies already providing services to clients in need or asking for CET services.</w:t>
      </w:r>
    </w:p>
    <w:p w14:paraId="3E24C9A9" w14:textId="77777777" w:rsidR="00307030" w:rsidRDefault="006001A6" w:rsidP="00307030">
      <w:pPr>
        <w:pStyle w:val="ListParagraph"/>
        <w:numPr>
          <w:ilvl w:val="0"/>
          <w:numId w:val="13"/>
        </w:numPr>
        <w:contextualSpacing w:val="0"/>
      </w:pPr>
      <w:r w:rsidRPr="006001A6">
        <w:t>Team approach, with workloads shared between teams and daily handover meetings for review of clients.</w:t>
      </w:r>
    </w:p>
    <w:p w14:paraId="22615AC1" w14:textId="64082E43" w:rsidR="00307030" w:rsidRDefault="006001A6" w:rsidP="00307030">
      <w:pPr>
        <w:pStyle w:val="ListParagraph"/>
        <w:numPr>
          <w:ilvl w:val="0"/>
          <w:numId w:val="13"/>
        </w:numPr>
        <w:contextualSpacing w:val="0"/>
      </w:pPr>
      <w:r w:rsidRPr="006001A6">
        <w:t xml:space="preserve">Engagement with the team is short term, with most clients discharged to continuing care services (if needed) </w:t>
      </w:r>
      <w:r w:rsidRPr="00307030">
        <w:t>within 6 weeks.</w:t>
      </w:r>
    </w:p>
    <w:p w14:paraId="182635D0" w14:textId="4F9CAAC4" w:rsidR="003759E7" w:rsidRPr="00307030" w:rsidRDefault="00D4510D" w:rsidP="00307030">
      <w:r w:rsidRPr="00307030">
        <w:t>The precise composition of the team is not clear</w:t>
      </w:r>
      <w:r w:rsidR="00307030" w:rsidRPr="00307030">
        <w:t xml:space="preserve"> but most likely would</w:t>
      </w:r>
      <w:r w:rsidRPr="00307030">
        <w:t xml:space="preserve"> employ a</w:t>
      </w:r>
      <w:r w:rsidR="00307030" w:rsidRPr="00307030">
        <w:t xml:space="preserve"> psychiatrist or psychologist, peer workers, a case management professional and licensed social workers.</w:t>
      </w:r>
    </w:p>
    <w:p w14:paraId="025354A3" w14:textId="77777777" w:rsidR="00FC3E4A" w:rsidRDefault="00FC3E4A" w:rsidP="00307030">
      <w:pPr>
        <w:rPr>
          <w:rFonts w:ascii="Times New Roman" w:hAnsi="Times New Roman" w:cs="Times New Roman"/>
          <w:i/>
          <w:sz w:val="24"/>
          <w:szCs w:val="24"/>
        </w:rPr>
      </w:pPr>
    </w:p>
    <w:p w14:paraId="51E2ADC2" w14:textId="68B5AC9E" w:rsidR="00FC3E4A" w:rsidRDefault="00FC3E4A" w:rsidP="00307030">
      <w:pPr>
        <w:rPr>
          <w:rFonts w:ascii="Times New Roman" w:hAnsi="Times New Roman" w:cs="Times New Roman"/>
          <w:i/>
          <w:sz w:val="24"/>
          <w:szCs w:val="24"/>
        </w:rPr>
      </w:pPr>
      <w:r w:rsidRPr="00AE0C91">
        <w:rPr>
          <w:rFonts w:ascii="Helvetica" w:hAnsi="Helvetica" w:cs="Helvetica"/>
          <w:color w:val="000000"/>
          <w:sz w:val="16"/>
          <w:szCs w:val="18"/>
        </w:rPr>
        <w:t>Mental Health Council of Australia. (2011). National Health and Hospital Networks, COAG and Mental Health Reform: Sub-acute Care Initiative Positions Paper. Found online at: Australia MHCA_Position_Paper_5_-_Sub-acute_Care_Initiative.pdf</w:t>
      </w:r>
    </w:p>
    <w:p w14:paraId="038E39FD" w14:textId="77777777" w:rsidR="00FC3E4A" w:rsidRDefault="00FC3E4A" w:rsidP="00307030"/>
    <w:p w14:paraId="1CAC1BE5" w14:textId="77777777" w:rsidR="00FC3E4A" w:rsidRDefault="00FC3E4A" w:rsidP="00307030"/>
    <w:p w14:paraId="1CA5D5ED" w14:textId="196E4683" w:rsidR="00307030" w:rsidRPr="00307030" w:rsidRDefault="005732F5" w:rsidP="00307030">
      <w:r>
        <w:rPr>
          <w:noProof/>
        </w:rPr>
        <w:drawing>
          <wp:inline distT="0" distB="0" distL="0" distR="0" wp14:anchorId="3693D19A" wp14:editId="6A4D1A44">
            <wp:extent cx="5943600" cy="4380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2-15 at 3.46.4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80230"/>
                    </a:xfrm>
                    <a:prstGeom prst="rect">
                      <a:avLst/>
                    </a:prstGeom>
                  </pic:spPr>
                </pic:pic>
              </a:graphicData>
            </a:graphic>
          </wp:inline>
        </w:drawing>
      </w:r>
    </w:p>
    <w:p w14:paraId="5943BFF7" w14:textId="30B9DBE3" w:rsidR="00936329" w:rsidRPr="00936329" w:rsidRDefault="00936329" w:rsidP="003759E7">
      <w:pPr>
        <w:rPr>
          <w:rFonts w:ascii="Times New Roman" w:hAnsi="Times New Roman" w:cs="Times New Roman"/>
          <w:sz w:val="24"/>
          <w:szCs w:val="24"/>
        </w:rPr>
        <w:sectPr w:rsidR="00936329" w:rsidRPr="00936329">
          <w:pgSz w:w="12240" w:h="15840"/>
          <w:pgMar w:top="1440" w:right="1440" w:bottom="1440" w:left="1440" w:header="720" w:footer="720" w:gutter="0"/>
          <w:cols w:space="720"/>
          <w:docGrid w:linePitch="360"/>
        </w:sectPr>
      </w:pPr>
    </w:p>
    <w:p w14:paraId="1728406C" w14:textId="6D299FBB" w:rsidR="00C572B1" w:rsidRPr="009573B6" w:rsidRDefault="00C572B1"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7A7A86">
        <w:rPr>
          <w:rFonts w:ascii="Times New Roman" w:hAnsi="Times New Roman" w:cs="Times New Roman"/>
          <w:b/>
          <w:sz w:val="24"/>
          <w:szCs w:val="24"/>
        </w:rPr>
        <w:t>7</w:t>
      </w:r>
      <w:r>
        <w:rPr>
          <w:rFonts w:ascii="Times New Roman" w:hAnsi="Times New Roman" w:cs="Times New Roman"/>
          <w:b/>
          <w:sz w:val="24"/>
          <w:szCs w:val="24"/>
        </w:rPr>
        <w:t xml:space="preserve">: </w:t>
      </w:r>
      <w:r w:rsidR="00747257">
        <w:rPr>
          <w:rFonts w:ascii="Times New Roman" w:hAnsi="Times New Roman" w:cs="Times New Roman"/>
          <w:b/>
          <w:sz w:val="24"/>
          <w:szCs w:val="24"/>
        </w:rPr>
        <w:t>Cost &amp; Budget Considerations</w:t>
      </w:r>
    </w:p>
    <w:p w14:paraId="484FF8F2" w14:textId="1D793293" w:rsidR="00AE0C91" w:rsidRPr="00AE0C91" w:rsidRDefault="00AE0C91" w:rsidP="00AE0C91">
      <w:pPr>
        <w:rPr>
          <w:b/>
        </w:rPr>
      </w:pPr>
      <w:r w:rsidRPr="00AE0C91">
        <w:rPr>
          <w:b/>
        </w:rPr>
        <w:t>Preliminary Budget</w:t>
      </w:r>
    </w:p>
    <w:p w14:paraId="3F0E2A4A" w14:textId="5C0765B4" w:rsidR="00AE0C91" w:rsidRPr="00747257" w:rsidRDefault="00AE0C91" w:rsidP="00AE0C91">
      <w:r>
        <w:t xml:space="preserve">There are </w:t>
      </w:r>
      <w:r w:rsidR="006335B7">
        <w:t xml:space="preserve">no </w:t>
      </w:r>
      <w:r>
        <w:t>budget documents available regarding the funding of the proposed CET. Preliminarily, the approximate cost of the CET program is $1,000,000 depending on the quality of the responses.</w:t>
      </w:r>
    </w:p>
    <w:p w14:paraId="3677DCD0" w14:textId="77777777" w:rsidR="000F65B9" w:rsidRDefault="000F65B9" w:rsidP="000F65B9">
      <w:pPr>
        <w:rPr>
          <w:rFonts w:ascii="Times New Roman" w:hAnsi="Times New Roman" w:cs="Times New Roman"/>
          <w:sz w:val="24"/>
          <w:szCs w:val="24"/>
          <w:u w:val="single"/>
        </w:rPr>
      </w:pPr>
    </w:p>
    <w:p w14:paraId="2F5EF84C" w14:textId="77777777" w:rsidR="003B56ED" w:rsidRDefault="003B56ED" w:rsidP="000F65B9">
      <w:pPr>
        <w:rPr>
          <w:rFonts w:ascii="Times New Roman" w:hAnsi="Times New Roman" w:cs="Times New Roman"/>
          <w:sz w:val="24"/>
          <w:szCs w:val="24"/>
          <w:u w:val="single"/>
        </w:rPr>
        <w:sectPr w:rsidR="003B56ED">
          <w:pgSz w:w="12240" w:h="15840"/>
          <w:pgMar w:top="1440" w:right="1440" w:bottom="1440" w:left="1440" w:header="720" w:footer="720" w:gutter="0"/>
          <w:cols w:space="720"/>
          <w:docGrid w:linePitch="360"/>
        </w:sectPr>
      </w:pPr>
    </w:p>
    <w:p w14:paraId="69684231" w14:textId="1F86C5B4" w:rsidR="003B56ED" w:rsidRDefault="003B56ED" w:rsidP="0034121A">
      <w:pP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7A7A86">
        <w:rPr>
          <w:rFonts w:ascii="Times New Roman" w:hAnsi="Times New Roman" w:cs="Times New Roman"/>
          <w:b/>
          <w:sz w:val="24"/>
          <w:szCs w:val="24"/>
        </w:rPr>
        <w:t>8</w:t>
      </w:r>
      <w:r>
        <w:rPr>
          <w:rFonts w:ascii="Times New Roman" w:hAnsi="Times New Roman" w:cs="Times New Roman"/>
          <w:b/>
          <w:sz w:val="24"/>
          <w:szCs w:val="24"/>
        </w:rPr>
        <w:t>: ANTICIPATED TIMELINE</w:t>
      </w:r>
    </w:p>
    <w:p w14:paraId="2F6F9A1F" w14:textId="63FED2C7" w:rsidR="00853689" w:rsidRDefault="00A80830" w:rsidP="00A80830">
      <w:r>
        <w:t>Milestone and timeline information necessary to complete this portion of the proposal was not available.</w:t>
      </w:r>
    </w:p>
    <w:p w14:paraId="67785513" w14:textId="77777777" w:rsidR="00853689" w:rsidRDefault="00853689" w:rsidP="00853689">
      <w:pPr>
        <w:spacing w:after="0" w:line="240" w:lineRule="auto"/>
        <w:rPr>
          <w:rFonts w:ascii="Times New Roman" w:hAnsi="Times New Roman" w:cs="Times New Roman"/>
          <w:i/>
          <w:sz w:val="24"/>
          <w:szCs w:val="24"/>
        </w:rPr>
      </w:pPr>
    </w:p>
    <w:p w14:paraId="48D73D36" w14:textId="77777777" w:rsidR="00A80830" w:rsidRDefault="00A80830" w:rsidP="00A80830">
      <w:r>
        <w:t>Step #1: Draft Project Proposal Complete</w:t>
      </w:r>
    </w:p>
    <w:p w14:paraId="0454240D" w14:textId="77777777" w:rsidR="00A80830" w:rsidRDefault="00A80830" w:rsidP="00A80830">
      <w:r>
        <w:t>Step #2: Project proposal reviewed &amp; approved by appropriate ABCGC subcommittee</w:t>
      </w:r>
    </w:p>
    <w:p w14:paraId="2AF7BBA0" w14:textId="77777777" w:rsidR="00A80830" w:rsidRDefault="00A80830" w:rsidP="00A80830">
      <w:r>
        <w:t>Step #3: Project proposal reviewed &amp; approved by ABCGC steering committee</w:t>
      </w:r>
    </w:p>
    <w:p w14:paraId="7CE5A5BD" w14:textId="77777777" w:rsidR="00A80830" w:rsidRDefault="00A80830" w:rsidP="00A80830">
      <w:r>
        <w:t>Step #4: Project proposal reviewed &amp; approved by full ABCGC</w:t>
      </w:r>
    </w:p>
    <w:p w14:paraId="2856EA2A" w14:textId="77777777" w:rsidR="00A80830" w:rsidRDefault="00A80830" w:rsidP="00A80830">
      <w:r>
        <w:t>Step #5: Project proposal reviewed &amp; approved by the BCC</w:t>
      </w:r>
    </w:p>
    <w:p w14:paraId="111441D8" w14:textId="29620621" w:rsidR="00A80830" w:rsidRDefault="00A80830" w:rsidP="00A80830">
      <w:r>
        <w:t>Step #6: Project proposal turned into RFP or other contracting scope of services</w:t>
      </w:r>
    </w:p>
    <w:p w14:paraId="512EAA73" w14:textId="77777777" w:rsidR="00A80830" w:rsidRDefault="00A80830" w:rsidP="00A80830">
      <w:r>
        <w:t>Step #7: Service provider(s) signs contract</w:t>
      </w:r>
    </w:p>
    <w:p w14:paraId="0E64B47D" w14:textId="064DD359" w:rsidR="00853689" w:rsidRDefault="00A80830" w:rsidP="00A80830">
      <w:r>
        <w:t>Step #8: Services delivery begins</w:t>
      </w:r>
    </w:p>
    <w:p w14:paraId="486CD92E" w14:textId="77777777" w:rsidR="00853689" w:rsidRPr="000F65B9" w:rsidRDefault="00853689" w:rsidP="00853689">
      <w:pPr>
        <w:spacing w:after="0" w:line="240" w:lineRule="auto"/>
        <w:rPr>
          <w:rFonts w:ascii="Times New Roman" w:hAnsi="Times New Roman" w:cs="Times New Roman"/>
          <w:sz w:val="24"/>
          <w:szCs w:val="24"/>
          <w:u w:val="single"/>
        </w:rPr>
      </w:pPr>
      <w:r w:rsidRPr="00EE77DE">
        <w:rPr>
          <w:rFonts w:ascii="Times New Roman" w:hAnsi="Times New Roman" w:cs="Times New Roman"/>
          <w:noProof/>
          <w:sz w:val="24"/>
          <w:szCs w:val="24"/>
          <w:u w:val="single"/>
        </w:rPr>
        <mc:AlternateContent>
          <mc:Choice Requires="wps">
            <w:drawing>
              <wp:anchor distT="0" distB="0" distL="114300" distR="114300" simplePos="0" relativeHeight="251663360" behindDoc="0" locked="0" layoutInCell="1" allowOverlap="1" wp14:anchorId="27B8FBE9" wp14:editId="7EA4EC70">
                <wp:simplePos x="0" y="0"/>
                <wp:positionH relativeFrom="column">
                  <wp:posOffset>100330</wp:posOffset>
                </wp:positionH>
                <wp:positionV relativeFrom="paragraph">
                  <wp:posOffset>985520</wp:posOffset>
                </wp:positionV>
                <wp:extent cx="7696200" cy="0"/>
                <wp:effectExtent l="0" t="95250" r="0" b="95250"/>
                <wp:wrapNone/>
                <wp:docPr id="6" name="Straight Arrow Connector 5"/>
                <wp:cNvGraphicFramePr/>
                <a:graphic xmlns:a="http://schemas.openxmlformats.org/drawingml/2006/main">
                  <a:graphicData uri="http://schemas.microsoft.com/office/word/2010/wordprocessingShape">
                    <wps:wsp>
                      <wps:cNvCnPr/>
                      <wps:spPr>
                        <a:xfrm>
                          <a:off x="0" y="0"/>
                          <a:ext cx="76962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0DE807E" id="_x0000_t32" coordsize="21600,21600" o:spt="32" o:oned="t" path="m,l21600,21600e" filled="f">
                <v:path arrowok="t" fillok="f" o:connecttype="none"/>
                <o:lock v:ext="edit" shapetype="t"/>
              </v:shapetype>
              <v:shape id="Straight Arrow Connector 5" o:spid="_x0000_s1026" type="#_x0000_t32" style="position:absolute;margin-left:7.9pt;margin-top:77.6pt;width:60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" strokecolor="black [3213]" strokeweight="3pt">
                <v:stroke endarrow="block" joinstyle="miter"/>
              </v:shap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4384" behindDoc="0" locked="0" layoutInCell="1" allowOverlap="1" wp14:anchorId="180F79E1" wp14:editId="24C36383">
                <wp:simplePos x="0" y="0"/>
                <wp:positionH relativeFrom="column">
                  <wp:posOffset>112395</wp:posOffset>
                </wp:positionH>
                <wp:positionV relativeFrom="paragraph">
                  <wp:posOffset>777240</wp:posOffset>
                </wp:positionV>
                <wp:extent cx="0" cy="412750"/>
                <wp:effectExtent l="19050" t="0" r="19050" b="25400"/>
                <wp:wrapNone/>
                <wp:docPr id="8" name="Straight Connector 7"/>
                <wp:cNvGraphicFramePr/>
                <a:graphic xmlns:a="http://schemas.openxmlformats.org/drawingml/2006/main">
                  <a:graphicData uri="http://schemas.microsoft.com/office/word/2010/wordprocessingShape">
                    <wps:wsp>
                      <wps:cNvCnPr/>
                      <wps:spPr>
                        <a:xfrm>
                          <a:off x="0" y="0"/>
                          <a:ext cx="0" cy="412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24264FB"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61.2pt" to="8.8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6432" behindDoc="0" locked="0" layoutInCell="1" allowOverlap="1" wp14:anchorId="76CD69F5" wp14:editId="4166E63F">
                <wp:simplePos x="0" y="0"/>
                <wp:positionH relativeFrom="column">
                  <wp:posOffset>863600</wp:posOffset>
                </wp:positionH>
                <wp:positionV relativeFrom="paragraph">
                  <wp:posOffset>777240</wp:posOffset>
                </wp:positionV>
                <wp:extent cx="0" cy="413385"/>
                <wp:effectExtent l="19050" t="0" r="19050" b="24765"/>
                <wp:wrapNone/>
                <wp:docPr id="12" name="Straight Connector 11"/>
                <wp:cNvGraphicFramePr/>
                <a:graphic xmlns:a="http://schemas.openxmlformats.org/drawingml/2006/main">
                  <a:graphicData uri="http://schemas.microsoft.com/office/word/2010/wordprocessingShape">
                    <wps:wsp>
                      <wps:cNvCnPr/>
                      <wps:spPr>
                        <a:xfrm>
                          <a:off x="0" y="0"/>
                          <a:ext cx="0" cy="4133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1ACA563"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61.2pt" to="6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7456" behindDoc="0" locked="0" layoutInCell="1" allowOverlap="1" wp14:anchorId="239BDDAC" wp14:editId="2D93E0B5">
                <wp:simplePos x="0" y="0"/>
                <wp:positionH relativeFrom="column">
                  <wp:posOffset>1625600</wp:posOffset>
                </wp:positionH>
                <wp:positionV relativeFrom="paragraph">
                  <wp:posOffset>777240</wp:posOffset>
                </wp:positionV>
                <wp:extent cx="0" cy="413385"/>
                <wp:effectExtent l="19050" t="0" r="19050" b="24765"/>
                <wp:wrapNone/>
                <wp:docPr id="13" name="Straight Connector 12"/>
                <wp:cNvGraphicFramePr/>
                <a:graphic xmlns:a="http://schemas.openxmlformats.org/drawingml/2006/main">
                  <a:graphicData uri="http://schemas.microsoft.com/office/word/2010/wordprocessingShape">
                    <wps:wsp>
                      <wps:cNvCnPr/>
                      <wps:spPr>
                        <a:xfrm>
                          <a:off x="0" y="0"/>
                          <a:ext cx="0" cy="4133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8E7B6BF" id="Straight Connector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pt,61.2pt" to="12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8480" behindDoc="0" locked="0" layoutInCell="1" allowOverlap="1" wp14:anchorId="1D2055B3" wp14:editId="7C84749D">
                <wp:simplePos x="0" y="0"/>
                <wp:positionH relativeFrom="column">
                  <wp:posOffset>2395855</wp:posOffset>
                </wp:positionH>
                <wp:positionV relativeFrom="paragraph">
                  <wp:posOffset>780415</wp:posOffset>
                </wp:positionV>
                <wp:extent cx="0" cy="408305"/>
                <wp:effectExtent l="19050" t="0" r="19050" b="29845"/>
                <wp:wrapNone/>
                <wp:docPr id="19" name="Straight Connector 18"/>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0EBE4FE" id="Straight Connector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65pt,61.45pt" to="188.6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9504" behindDoc="0" locked="0" layoutInCell="1" allowOverlap="1" wp14:anchorId="007A9AE8" wp14:editId="7A957119">
                <wp:simplePos x="0" y="0"/>
                <wp:positionH relativeFrom="column">
                  <wp:posOffset>3154045</wp:posOffset>
                </wp:positionH>
                <wp:positionV relativeFrom="paragraph">
                  <wp:posOffset>780415</wp:posOffset>
                </wp:positionV>
                <wp:extent cx="0" cy="408305"/>
                <wp:effectExtent l="19050" t="0" r="19050" b="29845"/>
                <wp:wrapNone/>
                <wp:docPr id="20" name="Straight Connector 19"/>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699199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5pt,61.45pt" to="248.3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0528" behindDoc="0" locked="0" layoutInCell="1" allowOverlap="1" wp14:anchorId="5220BC7A" wp14:editId="4CEB6505">
                <wp:simplePos x="0" y="0"/>
                <wp:positionH relativeFrom="column">
                  <wp:posOffset>3912235</wp:posOffset>
                </wp:positionH>
                <wp:positionV relativeFrom="paragraph">
                  <wp:posOffset>780415</wp:posOffset>
                </wp:positionV>
                <wp:extent cx="0" cy="408305"/>
                <wp:effectExtent l="19050" t="0" r="19050" b="29845"/>
                <wp:wrapNone/>
                <wp:docPr id="21" name="Straight Connector 20"/>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CCFFC3A" id="Straight Connector 2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05pt,61.45pt" to="308.0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1552" behindDoc="0" locked="0" layoutInCell="1" allowOverlap="1" wp14:anchorId="7D8F3C57" wp14:editId="7B0AD967">
                <wp:simplePos x="0" y="0"/>
                <wp:positionH relativeFrom="column">
                  <wp:posOffset>4678045</wp:posOffset>
                </wp:positionH>
                <wp:positionV relativeFrom="paragraph">
                  <wp:posOffset>780415</wp:posOffset>
                </wp:positionV>
                <wp:extent cx="0" cy="408305"/>
                <wp:effectExtent l="19050" t="0" r="19050" b="29845"/>
                <wp:wrapNone/>
                <wp:docPr id="22" name="Straight Connector 21"/>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807F6C6" id="Straight Connector 2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35pt,61.45pt" to="368.3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2576" behindDoc="0" locked="0" layoutInCell="1" allowOverlap="1" wp14:anchorId="6A4331BC" wp14:editId="2ED7FA1A">
                <wp:simplePos x="0" y="0"/>
                <wp:positionH relativeFrom="column">
                  <wp:posOffset>5428615</wp:posOffset>
                </wp:positionH>
                <wp:positionV relativeFrom="paragraph">
                  <wp:posOffset>780415</wp:posOffset>
                </wp:positionV>
                <wp:extent cx="0" cy="410845"/>
                <wp:effectExtent l="19050" t="0" r="19050" b="27305"/>
                <wp:wrapNone/>
                <wp:docPr id="23" name="Straight Connector 22"/>
                <wp:cNvGraphicFramePr/>
                <a:graphic xmlns:a="http://schemas.openxmlformats.org/drawingml/2006/main">
                  <a:graphicData uri="http://schemas.microsoft.com/office/word/2010/wordprocessingShape">
                    <wps:wsp>
                      <wps:cNvCnPr/>
                      <wps:spPr>
                        <a:xfrm>
                          <a:off x="0" y="0"/>
                          <a:ext cx="0" cy="4108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608E496" id="Straight Connector 2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45pt,61.45pt" to="427.4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3600" behindDoc="0" locked="0" layoutInCell="1" allowOverlap="1" wp14:anchorId="2EA27423" wp14:editId="294E4180">
                <wp:simplePos x="0" y="0"/>
                <wp:positionH relativeFrom="column">
                  <wp:posOffset>6194425</wp:posOffset>
                </wp:positionH>
                <wp:positionV relativeFrom="paragraph">
                  <wp:posOffset>780415</wp:posOffset>
                </wp:positionV>
                <wp:extent cx="0" cy="408305"/>
                <wp:effectExtent l="19050" t="0" r="19050" b="29845"/>
                <wp:wrapNone/>
                <wp:docPr id="24" name="Straight Connector 23"/>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FDCEA70" id="Straight Connector 2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7.75pt,61.45pt" to="487.7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74624" behindDoc="0" locked="0" layoutInCell="1" allowOverlap="1" wp14:anchorId="3A339CB9" wp14:editId="69103B26">
                <wp:simplePos x="0" y="0"/>
                <wp:positionH relativeFrom="column">
                  <wp:posOffset>6885940</wp:posOffset>
                </wp:positionH>
                <wp:positionV relativeFrom="paragraph">
                  <wp:posOffset>780415</wp:posOffset>
                </wp:positionV>
                <wp:extent cx="0" cy="408305"/>
                <wp:effectExtent l="19050" t="0" r="19050" b="29845"/>
                <wp:wrapNone/>
                <wp:docPr id="26" name="Straight Connector 25"/>
                <wp:cNvGraphicFramePr/>
                <a:graphic xmlns:a="http://schemas.openxmlformats.org/drawingml/2006/main">
                  <a:graphicData uri="http://schemas.microsoft.com/office/word/2010/wordprocessingShape">
                    <wps:wsp>
                      <wps:cNvCnPr/>
                      <wps:spPr>
                        <a:xfrm>
                          <a:off x="0" y="0"/>
                          <a:ext cx="0" cy="4083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689A8C6"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2pt,61.45pt" to="542.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" strokecolor="black [3213]" strokeweight="3pt">
                <v:stroke joinstyle="miter"/>
              </v:line>
            </w:pict>
          </mc:Fallback>
        </mc:AlternateContent>
      </w:r>
      <w:r w:rsidRPr="00EE77DE">
        <w:rPr>
          <w:rFonts w:ascii="Times New Roman" w:hAnsi="Times New Roman" w:cs="Times New Roman"/>
          <w:noProof/>
          <w:sz w:val="24"/>
          <w:szCs w:val="24"/>
          <w:u w:val="single"/>
        </w:rPr>
        <mc:AlternateContent>
          <mc:Choice Requires="wps">
            <w:drawing>
              <wp:anchor distT="0" distB="0" distL="114300" distR="114300" simplePos="0" relativeHeight="251665408" behindDoc="0" locked="0" layoutInCell="1" allowOverlap="1" wp14:anchorId="2EBA07C2" wp14:editId="31C866FB">
                <wp:simplePos x="0" y="0"/>
                <wp:positionH relativeFrom="column">
                  <wp:posOffset>7570335</wp:posOffset>
                </wp:positionH>
                <wp:positionV relativeFrom="paragraph">
                  <wp:posOffset>780780</wp:posOffset>
                </wp:positionV>
                <wp:extent cx="0" cy="408878"/>
                <wp:effectExtent l="19050" t="0" r="19050" b="29845"/>
                <wp:wrapNone/>
                <wp:docPr id="10" name="Straight Connector 9"/>
                <wp:cNvGraphicFramePr/>
                <a:graphic xmlns:a="http://schemas.openxmlformats.org/drawingml/2006/main">
                  <a:graphicData uri="http://schemas.microsoft.com/office/word/2010/wordprocessingShape">
                    <wps:wsp>
                      <wps:cNvCnPr/>
                      <wps:spPr>
                        <a:xfrm>
                          <a:off x="0" y="0"/>
                          <a:ext cx="0" cy="40887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AF6EC18"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6.1pt,61.5pt" to="596.1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" strokecolor="black [3213]" strokeweight="3pt">
                <v:stroke joinstyle="miter"/>
              </v:line>
            </w:pict>
          </mc:Fallback>
        </mc:AlternateContent>
      </w:r>
    </w:p>
    <w:sectPr w:rsidR="00853689" w:rsidRPr="000F65B9" w:rsidSect="003B56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0CE1E" w14:textId="77777777" w:rsidR="00F62331" w:rsidRDefault="00F62331" w:rsidP="00897EA6">
      <w:pPr>
        <w:spacing w:after="0" w:line="240" w:lineRule="auto"/>
      </w:pPr>
      <w:r>
        <w:separator/>
      </w:r>
    </w:p>
  </w:endnote>
  <w:endnote w:type="continuationSeparator" w:id="0">
    <w:p w14:paraId="505220AF" w14:textId="77777777" w:rsidR="00F62331" w:rsidRDefault="00F62331" w:rsidP="0089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62024959"/>
      <w:docPartObj>
        <w:docPartGallery w:val="Page Numbers (Bottom of Page)"/>
        <w:docPartUnique/>
      </w:docPartObj>
    </w:sdtPr>
    <w:sdtEndPr>
      <w:rPr>
        <w:color w:val="7F7F7F" w:themeColor="background1" w:themeShade="7F"/>
        <w:spacing w:val="60"/>
      </w:rPr>
    </w:sdtEndPr>
    <w:sdtContent>
      <w:p w14:paraId="402CD703" w14:textId="3F24CE20" w:rsidR="005C221D" w:rsidRPr="00897EA6" w:rsidRDefault="005C221D">
        <w:pPr>
          <w:pStyle w:val="Footer"/>
          <w:pBdr>
            <w:top w:val="single" w:sz="4" w:space="1" w:color="D9D9D9" w:themeColor="background1" w:themeShade="D9"/>
          </w:pBdr>
          <w:rPr>
            <w:rFonts w:ascii="Times New Roman" w:hAnsi="Times New Roman" w:cs="Times New Roman"/>
            <w:b/>
            <w:bCs/>
          </w:rPr>
        </w:pPr>
        <w:r w:rsidRPr="00897EA6">
          <w:rPr>
            <w:rFonts w:ascii="Times New Roman" w:hAnsi="Times New Roman" w:cs="Times New Roman"/>
          </w:rPr>
          <w:fldChar w:fldCharType="begin"/>
        </w:r>
        <w:r w:rsidRPr="00897EA6">
          <w:rPr>
            <w:rFonts w:ascii="Times New Roman" w:hAnsi="Times New Roman" w:cs="Times New Roman"/>
          </w:rPr>
          <w:instrText xml:space="preserve"> PAGE   \* MERGEFORMAT </w:instrText>
        </w:r>
        <w:r w:rsidRPr="00897EA6">
          <w:rPr>
            <w:rFonts w:ascii="Times New Roman" w:hAnsi="Times New Roman" w:cs="Times New Roman"/>
          </w:rPr>
          <w:fldChar w:fldCharType="separate"/>
        </w:r>
        <w:r w:rsidR="00C25FD5" w:rsidRPr="00C25FD5">
          <w:rPr>
            <w:rFonts w:ascii="Times New Roman" w:hAnsi="Times New Roman" w:cs="Times New Roman"/>
            <w:b/>
            <w:bCs/>
            <w:noProof/>
          </w:rPr>
          <w:t>13</w:t>
        </w:r>
        <w:r w:rsidRPr="00897EA6">
          <w:rPr>
            <w:rFonts w:ascii="Times New Roman" w:hAnsi="Times New Roman" w:cs="Times New Roman"/>
            <w:b/>
            <w:bCs/>
            <w:noProof/>
          </w:rPr>
          <w:fldChar w:fldCharType="end"/>
        </w:r>
        <w:r w:rsidRPr="00897EA6">
          <w:rPr>
            <w:rFonts w:ascii="Times New Roman" w:hAnsi="Times New Roman" w:cs="Times New Roman"/>
            <w:b/>
            <w:bCs/>
          </w:rPr>
          <w:t xml:space="preserve"> | </w:t>
        </w:r>
        <w:r w:rsidRPr="00897EA6">
          <w:rPr>
            <w:rFonts w:ascii="Times New Roman" w:hAnsi="Times New Roman" w:cs="Times New Roman"/>
            <w:color w:val="7F7F7F" w:themeColor="background1" w:themeShade="7F"/>
            <w:spacing w:val="60"/>
          </w:rPr>
          <w:t>Page</w:t>
        </w:r>
      </w:p>
    </w:sdtContent>
  </w:sdt>
  <w:p w14:paraId="13416E9A" w14:textId="77777777" w:rsidR="005C221D" w:rsidRDefault="005C22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06B0D" w14:textId="77777777" w:rsidR="00F62331" w:rsidRDefault="00F62331" w:rsidP="00897EA6">
      <w:pPr>
        <w:spacing w:after="0" w:line="240" w:lineRule="auto"/>
      </w:pPr>
      <w:r>
        <w:separator/>
      </w:r>
    </w:p>
  </w:footnote>
  <w:footnote w:type="continuationSeparator" w:id="0">
    <w:p w14:paraId="3F4609A4" w14:textId="77777777" w:rsidR="00F62331" w:rsidRDefault="00F62331" w:rsidP="00897EA6">
      <w:pPr>
        <w:spacing w:after="0" w:line="240" w:lineRule="auto"/>
      </w:pPr>
      <w:r>
        <w:continuationSeparator/>
      </w:r>
    </w:p>
  </w:footnote>
  <w:footnote w:id="1">
    <w:p w14:paraId="0D03CE47" w14:textId="77777777" w:rsidR="005A4EBA" w:rsidRPr="00031856" w:rsidRDefault="005A4EBA" w:rsidP="005A4EBA">
      <w:pPr>
        <w:pStyle w:val="FootnoteText"/>
        <w:rPr>
          <w:sz w:val="21"/>
        </w:rPr>
      </w:pPr>
      <w:r>
        <w:rPr>
          <w:rStyle w:val="FootnoteReference"/>
        </w:rPr>
        <w:footnoteRef/>
      </w:r>
      <w:r>
        <w:t xml:space="preserve"> </w:t>
      </w:r>
      <w:r w:rsidRPr="00031856">
        <w:rPr>
          <w:bCs/>
          <w:sz w:val="21"/>
          <w:u w:val="single"/>
        </w:rPr>
        <w:t>Routine Calls</w:t>
      </w:r>
      <w:r w:rsidRPr="00031856">
        <w:rPr>
          <w:sz w:val="21"/>
        </w:rPr>
        <w:t xml:space="preserve">: Call is resolved with de-escalation of the caller. Caller is offered a referral to local resources. Caller initiates next steps. </w:t>
      </w:r>
      <w:r w:rsidRPr="00031856">
        <w:rPr>
          <w:bCs/>
          <w:sz w:val="21"/>
          <w:u w:val="single"/>
        </w:rPr>
        <w:t>Urgent Calls</w:t>
      </w:r>
      <w:r w:rsidRPr="00031856">
        <w:rPr>
          <w:bCs/>
          <w:sz w:val="21"/>
        </w:rPr>
        <w:t>:</w:t>
      </w:r>
      <w:r w:rsidRPr="00031856">
        <w:rPr>
          <w:b/>
          <w:bCs/>
          <w:sz w:val="21"/>
        </w:rPr>
        <w:t xml:space="preserve"> </w:t>
      </w:r>
      <w:r w:rsidRPr="00031856">
        <w:rPr>
          <w:sz w:val="21"/>
        </w:rPr>
        <w:t xml:space="preserve">Call requires de-escalation. A determination is made, with consultation from clinical supervisor, that an outbound call will be scheduled to follow up with the caller. </w:t>
      </w:r>
      <w:r>
        <w:rPr>
          <w:sz w:val="21"/>
        </w:rPr>
        <w:t xml:space="preserve"> </w:t>
      </w:r>
      <w:r w:rsidRPr="007025ED">
        <w:rPr>
          <w:sz w:val="21"/>
          <w:u w:val="single"/>
        </w:rPr>
        <w:t>Emergent calls</w:t>
      </w:r>
      <w:r>
        <w:rPr>
          <w:sz w:val="21"/>
        </w:rPr>
        <w:t>: require immediate emergency attention.</w:t>
      </w:r>
    </w:p>
    <w:p w14:paraId="660D27F2" w14:textId="77777777" w:rsidR="005A4EBA" w:rsidRDefault="005A4EBA" w:rsidP="005A4EB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D78EA"/>
    <w:multiLevelType w:val="hybridMultilevel"/>
    <w:tmpl w:val="FFE4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69DA"/>
    <w:multiLevelType w:val="hybridMultilevel"/>
    <w:tmpl w:val="5282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44E7"/>
    <w:multiLevelType w:val="hybridMultilevel"/>
    <w:tmpl w:val="0D1A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E171C"/>
    <w:multiLevelType w:val="hybridMultilevel"/>
    <w:tmpl w:val="5F4A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506FE"/>
    <w:multiLevelType w:val="hybridMultilevel"/>
    <w:tmpl w:val="DDA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D6EA9"/>
    <w:multiLevelType w:val="hybridMultilevel"/>
    <w:tmpl w:val="21E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61F73"/>
    <w:multiLevelType w:val="hybridMultilevel"/>
    <w:tmpl w:val="7F3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2174E"/>
    <w:multiLevelType w:val="hybridMultilevel"/>
    <w:tmpl w:val="7B60796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nsid w:val="60F67C1A"/>
    <w:multiLevelType w:val="hybridMultilevel"/>
    <w:tmpl w:val="877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73199"/>
    <w:multiLevelType w:val="hybridMultilevel"/>
    <w:tmpl w:val="15501B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67B55308"/>
    <w:multiLevelType w:val="hybridMultilevel"/>
    <w:tmpl w:val="60C4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F71D6"/>
    <w:multiLevelType w:val="hybridMultilevel"/>
    <w:tmpl w:val="F21A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11E17"/>
    <w:multiLevelType w:val="multilevel"/>
    <w:tmpl w:val="021C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B353A"/>
    <w:multiLevelType w:val="hybridMultilevel"/>
    <w:tmpl w:val="4742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3"/>
  </w:num>
  <w:num w:numId="5">
    <w:abstractNumId w:val="7"/>
  </w:num>
  <w:num w:numId="6">
    <w:abstractNumId w:val="1"/>
  </w:num>
  <w:num w:numId="7">
    <w:abstractNumId w:val="5"/>
  </w:num>
  <w:num w:numId="8">
    <w:abstractNumId w:val="4"/>
  </w:num>
  <w:num w:numId="9">
    <w:abstractNumId w:val="13"/>
  </w:num>
  <w:num w:numId="10">
    <w:abstractNumId w:val="0"/>
  </w:num>
  <w:num w:numId="11">
    <w:abstractNumId w:val="14"/>
  </w:num>
  <w:num w:numId="12">
    <w:abstractNumId w:val="11"/>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FD"/>
    <w:rsid w:val="000059EF"/>
    <w:rsid w:val="00014681"/>
    <w:rsid w:val="00015CAC"/>
    <w:rsid w:val="00037CFE"/>
    <w:rsid w:val="00042C40"/>
    <w:rsid w:val="00042E9A"/>
    <w:rsid w:val="000436EE"/>
    <w:rsid w:val="00056952"/>
    <w:rsid w:val="00066AC4"/>
    <w:rsid w:val="0008227B"/>
    <w:rsid w:val="00083B01"/>
    <w:rsid w:val="00095441"/>
    <w:rsid w:val="00096051"/>
    <w:rsid w:val="00096D78"/>
    <w:rsid w:val="000A0F94"/>
    <w:rsid w:val="000A4B1E"/>
    <w:rsid w:val="000A51A7"/>
    <w:rsid w:val="000C0F98"/>
    <w:rsid w:val="000E1BF3"/>
    <w:rsid w:val="000E23C5"/>
    <w:rsid w:val="000F3170"/>
    <w:rsid w:val="000F31CB"/>
    <w:rsid w:val="000F65B9"/>
    <w:rsid w:val="001012B4"/>
    <w:rsid w:val="0012170C"/>
    <w:rsid w:val="001348A7"/>
    <w:rsid w:val="00144C98"/>
    <w:rsid w:val="00151716"/>
    <w:rsid w:val="001549D5"/>
    <w:rsid w:val="00156255"/>
    <w:rsid w:val="00165686"/>
    <w:rsid w:val="00170CA1"/>
    <w:rsid w:val="0017441E"/>
    <w:rsid w:val="00176499"/>
    <w:rsid w:val="001815C5"/>
    <w:rsid w:val="00182D33"/>
    <w:rsid w:val="001959C9"/>
    <w:rsid w:val="001970BD"/>
    <w:rsid w:val="001A19C4"/>
    <w:rsid w:val="001B2DDC"/>
    <w:rsid w:val="001C6323"/>
    <w:rsid w:val="001D1378"/>
    <w:rsid w:val="001D5B1F"/>
    <w:rsid w:val="001D70FD"/>
    <w:rsid w:val="001E384B"/>
    <w:rsid w:val="001E47B9"/>
    <w:rsid w:val="001E5F83"/>
    <w:rsid w:val="001F3035"/>
    <w:rsid w:val="002001A8"/>
    <w:rsid w:val="002005F8"/>
    <w:rsid w:val="00202AC6"/>
    <w:rsid w:val="00204A78"/>
    <w:rsid w:val="00210AEF"/>
    <w:rsid w:val="00217DEA"/>
    <w:rsid w:val="00225F20"/>
    <w:rsid w:val="00233F02"/>
    <w:rsid w:val="00235A26"/>
    <w:rsid w:val="0024633E"/>
    <w:rsid w:val="00254899"/>
    <w:rsid w:val="0025527F"/>
    <w:rsid w:val="0025607A"/>
    <w:rsid w:val="00262A4F"/>
    <w:rsid w:val="00270F59"/>
    <w:rsid w:val="00274F59"/>
    <w:rsid w:val="00296FBF"/>
    <w:rsid w:val="002A4415"/>
    <w:rsid w:val="002B0796"/>
    <w:rsid w:val="002B4966"/>
    <w:rsid w:val="002C011C"/>
    <w:rsid w:val="002D2801"/>
    <w:rsid w:val="002D3B8A"/>
    <w:rsid w:val="002E5080"/>
    <w:rsid w:val="002E6A5C"/>
    <w:rsid w:val="002F0B02"/>
    <w:rsid w:val="002F2C95"/>
    <w:rsid w:val="00307030"/>
    <w:rsid w:val="003070BD"/>
    <w:rsid w:val="00316B62"/>
    <w:rsid w:val="00321F3A"/>
    <w:rsid w:val="00324EB1"/>
    <w:rsid w:val="003359A0"/>
    <w:rsid w:val="0034121A"/>
    <w:rsid w:val="00345942"/>
    <w:rsid w:val="003566BF"/>
    <w:rsid w:val="00362B9E"/>
    <w:rsid w:val="003648A1"/>
    <w:rsid w:val="003678DA"/>
    <w:rsid w:val="00372E5B"/>
    <w:rsid w:val="003759E7"/>
    <w:rsid w:val="00380B67"/>
    <w:rsid w:val="00385042"/>
    <w:rsid w:val="003B27C9"/>
    <w:rsid w:val="003B56ED"/>
    <w:rsid w:val="003C5307"/>
    <w:rsid w:val="003E0B8A"/>
    <w:rsid w:val="003E29D6"/>
    <w:rsid w:val="003F4D04"/>
    <w:rsid w:val="003F6402"/>
    <w:rsid w:val="004054D2"/>
    <w:rsid w:val="00430624"/>
    <w:rsid w:val="00431E51"/>
    <w:rsid w:val="0044163C"/>
    <w:rsid w:val="00454015"/>
    <w:rsid w:val="00466A4E"/>
    <w:rsid w:val="004855FD"/>
    <w:rsid w:val="00495E84"/>
    <w:rsid w:val="00496B2B"/>
    <w:rsid w:val="00497332"/>
    <w:rsid w:val="004A5B46"/>
    <w:rsid w:val="004C20FD"/>
    <w:rsid w:val="004C2E13"/>
    <w:rsid w:val="004D1190"/>
    <w:rsid w:val="004E6042"/>
    <w:rsid w:val="004F2A1A"/>
    <w:rsid w:val="00504F5C"/>
    <w:rsid w:val="00505944"/>
    <w:rsid w:val="00506B98"/>
    <w:rsid w:val="00517C91"/>
    <w:rsid w:val="00524A8D"/>
    <w:rsid w:val="00525B68"/>
    <w:rsid w:val="0053063A"/>
    <w:rsid w:val="005314D2"/>
    <w:rsid w:val="0053377A"/>
    <w:rsid w:val="00534176"/>
    <w:rsid w:val="005360DE"/>
    <w:rsid w:val="005732F5"/>
    <w:rsid w:val="0057544F"/>
    <w:rsid w:val="0058305F"/>
    <w:rsid w:val="005A0724"/>
    <w:rsid w:val="005A34DB"/>
    <w:rsid w:val="005A4BB9"/>
    <w:rsid w:val="005A4EBA"/>
    <w:rsid w:val="005A737C"/>
    <w:rsid w:val="005B103C"/>
    <w:rsid w:val="005C221D"/>
    <w:rsid w:val="005C5F7E"/>
    <w:rsid w:val="005D3A24"/>
    <w:rsid w:val="005D4859"/>
    <w:rsid w:val="005E6845"/>
    <w:rsid w:val="005F43D5"/>
    <w:rsid w:val="006001A6"/>
    <w:rsid w:val="00603A2E"/>
    <w:rsid w:val="00613AE3"/>
    <w:rsid w:val="006268B6"/>
    <w:rsid w:val="00631BC0"/>
    <w:rsid w:val="006335B7"/>
    <w:rsid w:val="006354EC"/>
    <w:rsid w:val="00644420"/>
    <w:rsid w:val="00650506"/>
    <w:rsid w:val="006562F0"/>
    <w:rsid w:val="0066303B"/>
    <w:rsid w:val="00663443"/>
    <w:rsid w:val="00670FD3"/>
    <w:rsid w:val="0067122D"/>
    <w:rsid w:val="00680449"/>
    <w:rsid w:val="00680AB7"/>
    <w:rsid w:val="00680B3F"/>
    <w:rsid w:val="006830CB"/>
    <w:rsid w:val="00686C0B"/>
    <w:rsid w:val="0068783A"/>
    <w:rsid w:val="0069149C"/>
    <w:rsid w:val="00693160"/>
    <w:rsid w:val="00695362"/>
    <w:rsid w:val="006A02E3"/>
    <w:rsid w:val="006A0C2F"/>
    <w:rsid w:val="006A0F6F"/>
    <w:rsid w:val="006A5556"/>
    <w:rsid w:val="006B12E8"/>
    <w:rsid w:val="006B4DF6"/>
    <w:rsid w:val="006C46CE"/>
    <w:rsid w:val="006E01B7"/>
    <w:rsid w:val="006F2436"/>
    <w:rsid w:val="006F2EBB"/>
    <w:rsid w:val="007021A1"/>
    <w:rsid w:val="00705C4C"/>
    <w:rsid w:val="00713F05"/>
    <w:rsid w:val="0072413F"/>
    <w:rsid w:val="00730713"/>
    <w:rsid w:val="00747257"/>
    <w:rsid w:val="0075631F"/>
    <w:rsid w:val="007569C8"/>
    <w:rsid w:val="00771524"/>
    <w:rsid w:val="0077250F"/>
    <w:rsid w:val="00777968"/>
    <w:rsid w:val="007A05E3"/>
    <w:rsid w:val="007A5E45"/>
    <w:rsid w:val="007A7A86"/>
    <w:rsid w:val="007B2A68"/>
    <w:rsid w:val="007B3492"/>
    <w:rsid w:val="007C2A3A"/>
    <w:rsid w:val="007D24C9"/>
    <w:rsid w:val="007F0281"/>
    <w:rsid w:val="007F6E2B"/>
    <w:rsid w:val="00804471"/>
    <w:rsid w:val="008049A1"/>
    <w:rsid w:val="00812E10"/>
    <w:rsid w:val="00823969"/>
    <w:rsid w:val="00827D9B"/>
    <w:rsid w:val="00830CA2"/>
    <w:rsid w:val="00831876"/>
    <w:rsid w:val="00832BAB"/>
    <w:rsid w:val="00837C5A"/>
    <w:rsid w:val="00840BD7"/>
    <w:rsid w:val="00847BD3"/>
    <w:rsid w:val="008532A2"/>
    <w:rsid w:val="00853689"/>
    <w:rsid w:val="0086187B"/>
    <w:rsid w:val="00870160"/>
    <w:rsid w:val="00872AAD"/>
    <w:rsid w:val="008811F9"/>
    <w:rsid w:val="00885305"/>
    <w:rsid w:val="00897EA6"/>
    <w:rsid w:val="008B5AE6"/>
    <w:rsid w:val="008B5BD9"/>
    <w:rsid w:val="008C2249"/>
    <w:rsid w:val="008C2954"/>
    <w:rsid w:val="008C6828"/>
    <w:rsid w:val="008C7AA5"/>
    <w:rsid w:val="008C7EC6"/>
    <w:rsid w:val="008D0E09"/>
    <w:rsid w:val="008D1467"/>
    <w:rsid w:val="008D3067"/>
    <w:rsid w:val="008F2EEB"/>
    <w:rsid w:val="00903E17"/>
    <w:rsid w:val="00906581"/>
    <w:rsid w:val="0090671B"/>
    <w:rsid w:val="00910EC7"/>
    <w:rsid w:val="00927CE9"/>
    <w:rsid w:val="009325FD"/>
    <w:rsid w:val="00936329"/>
    <w:rsid w:val="00944B1F"/>
    <w:rsid w:val="00953E7C"/>
    <w:rsid w:val="00954695"/>
    <w:rsid w:val="009573B6"/>
    <w:rsid w:val="00962946"/>
    <w:rsid w:val="0099423F"/>
    <w:rsid w:val="009B638F"/>
    <w:rsid w:val="009D57CC"/>
    <w:rsid w:val="009E6EE2"/>
    <w:rsid w:val="009E7E29"/>
    <w:rsid w:val="009F0322"/>
    <w:rsid w:val="009F60AC"/>
    <w:rsid w:val="00A20984"/>
    <w:rsid w:val="00A2542C"/>
    <w:rsid w:val="00A26377"/>
    <w:rsid w:val="00A2778F"/>
    <w:rsid w:val="00A32612"/>
    <w:rsid w:val="00A34C4C"/>
    <w:rsid w:val="00A3550D"/>
    <w:rsid w:val="00A3760F"/>
    <w:rsid w:val="00A40770"/>
    <w:rsid w:val="00A558DD"/>
    <w:rsid w:val="00A628FE"/>
    <w:rsid w:val="00A63237"/>
    <w:rsid w:val="00A64CAB"/>
    <w:rsid w:val="00A716A3"/>
    <w:rsid w:val="00A80830"/>
    <w:rsid w:val="00A84467"/>
    <w:rsid w:val="00A92815"/>
    <w:rsid w:val="00A96683"/>
    <w:rsid w:val="00AA2B89"/>
    <w:rsid w:val="00AC002D"/>
    <w:rsid w:val="00AC2645"/>
    <w:rsid w:val="00AC2A70"/>
    <w:rsid w:val="00AC33B7"/>
    <w:rsid w:val="00AC347A"/>
    <w:rsid w:val="00AD6075"/>
    <w:rsid w:val="00AE0C91"/>
    <w:rsid w:val="00AF0DAD"/>
    <w:rsid w:val="00B14E8D"/>
    <w:rsid w:val="00B22450"/>
    <w:rsid w:val="00B23456"/>
    <w:rsid w:val="00B25F04"/>
    <w:rsid w:val="00B278FB"/>
    <w:rsid w:val="00B43E25"/>
    <w:rsid w:val="00B45752"/>
    <w:rsid w:val="00B509FF"/>
    <w:rsid w:val="00B52D73"/>
    <w:rsid w:val="00B62B92"/>
    <w:rsid w:val="00B634D4"/>
    <w:rsid w:val="00B63E81"/>
    <w:rsid w:val="00B64CD5"/>
    <w:rsid w:val="00B66534"/>
    <w:rsid w:val="00B666C0"/>
    <w:rsid w:val="00B710EB"/>
    <w:rsid w:val="00B90D15"/>
    <w:rsid w:val="00BB5319"/>
    <w:rsid w:val="00BC20D2"/>
    <w:rsid w:val="00BC2E1C"/>
    <w:rsid w:val="00BD3678"/>
    <w:rsid w:val="00BD48F6"/>
    <w:rsid w:val="00BE460F"/>
    <w:rsid w:val="00BE64F7"/>
    <w:rsid w:val="00BF465E"/>
    <w:rsid w:val="00BF519C"/>
    <w:rsid w:val="00C03E9F"/>
    <w:rsid w:val="00C25FD5"/>
    <w:rsid w:val="00C317B6"/>
    <w:rsid w:val="00C3221A"/>
    <w:rsid w:val="00C32AE5"/>
    <w:rsid w:val="00C36135"/>
    <w:rsid w:val="00C42511"/>
    <w:rsid w:val="00C56B8E"/>
    <w:rsid w:val="00C572B1"/>
    <w:rsid w:val="00C60365"/>
    <w:rsid w:val="00C672BE"/>
    <w:rsid w:val="00C72575"/>
    <w:rsid w:val="00C85E6D"/>
    <w:rsid w:val="00C9145F"/>
    <w:rsid w:val="00C9585D"/>
    <w:rsid w:val="00C97F52"/>
    <w:rsid w:val="00CA25C5"/>
    <w:rsid w:val="00CD0BFE"/>
    <w:rsid w:val="00CE408F"/>
    <w:rsid w:val="00CE6772"/>
    <w:rsid w:val="00D001AD"/>
    <w:rsid w:val="00D02159"/>
    <w:rsid w:val="00D02775"/>
    <w:rsid w:val="00D04C24"/>
    <w:rsid w:val="00D11761"/>
    <w:rsid w:val="00D14050"/>
    <w:rsid w:val="00D14E1A"/>
    <w:rsid w:val="00D20C46"/>
    <w:rsid w:val="00D20EDB"/>
    <w:rsid w:val="00D21B63"/>
    <w:rsid w:val="00D3103C"/>
    <w:rsid w:val="00D367C9"/>
    <w:rsid w:val="00D408BB"/>
    <w:rsid w:val="00D41998"/>
    <w:rsid w:val="00D42ECA"/>
    <w:rsid w:val="00D4317C"/>
    <w:rsid w:val="00D4510D"/>
    <w:rsid w:val="00D46075"/>
    <w:rsid w:val="00D46526"/>
    <w:rsid w:val="00D47058"/>
    <w:rsid w:val="00D66D07"/>
    <w:rsid w:val="00D67C90"/>
    <w:rsid w:val="00D71197"/>
    <w:rsid w:val="00D73256"/>
    <w:rsid w:val="00D732AE"/>
    <w:rsid w:val="00D91CA0"/>
    <w:rsid w:val="00DA21AB"/>
    <w:rsid w:val="00DA56E5"/>
    <w:rsid w:val="00DA796A"/>
    <w:rsid w:val="00DC3541"/>
    <w:rsid w:val="00DC7284"/>
    <w:rsid w:val="00DD1B3B"/>
    <w:rsid w:val="00DE35BB"/>
    <w:rsid w:val="00DE7532"/>
    <w:rsid w:val="00DF10D3"/>
    <w:rsid w:val="00DF3982"/>
    <w:rsid w:val="00DF3CB5"/>
    <w:rsid w:val="00E06BE9"/>
    <w:rsid w:val="00E1362F"/>
    <w:rsid w:val="00E257AA"/>
    <w:rsid w:val="00E37BC6"/>
    <w:rsid w:val="00E421F2"/>
    <w:rsid w:val="00E551CC"/>
    <w:rsid w:val="00E71601"/>
    <w:rsid w:val="00E754BD"/>
    <w:rsid w:val="00E84F0D"/>
    <w:rsid w:val="00EA37A9"/>
    <w:rsid w:val="00EA4387"/>
    <w:rsid w:val="00EA6080"/>
    <w:rsid w:val="00EA7CE7"/>
    <w:rsid w:val="00EB0397"/>
    <w:rsid w:val="00EC0A34"/>
    <w:rsid w:val="00ED02DD"/>
    <w:rsid w:val="00ED0A7F"/>
    <w:rsid w:val="00EE04C7"/>
    <w:rsid w:val="00EE5A11"/>
    <w:rsid w:val="00EE77DE"/>
    <w:rsid w:val="00EF306F"/>
    <w:rsid w:val="00EF5DC4"/>
    <w:rsid w:val="00F02257"/>
    <w:rsid w:val="00F11729"/>
    <w:rsid w:val="00F119D6"/>
    <w:rsid w:val="00F16310"/>
    <w:rsid w:val="00F25F18"/>
    <w:rsid w:val="00F2643B"/>
    <w:rsid w:val="00F3405B"/>
    <w:rsid w:val="00F500BE"/>
    <w:rsid w:val="00F62331"/>
    <w:rsid w:val="00F63FDA"/>
    <w:rsid w:val="00F73DC7"/>
    <w:rsid w:val="00F74F6D"/>
    <w:rsid w:val="00F82645"/>
    <w:rsid w:val="00F875A1"/>
    <w:rsid w:val="00FA4B34"/>
    <w:rsid w:val="00FB1958"/>
    <w:rsid w:val="00FB6F77"/>
    <w:rsid w:val="00FC162B"/>
    <w:rsid w:val="00FC2A49"/>
    <w:rsid w:val="00FC3E4A"/>
    <w:rsid w:val="00FC3EF4"/>
    <w:rsid w:val="00FC7985"/>
    <w:rsid w:val="00FE0369"/>
    <w:rsid w:val="00FE6B17"/>
    <w:rsid w:val="00FE70F3"/>
    <w:rsid w:val="00FF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703"/>
  <w15:chartTrackingRefBased/>
  <w15:docId w15:val="{0FF0DDE4-B367-4F72-993A-8D9968E1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63A"/>
    <w:pPr>
      <w:spacing w:after="200" w:line="276" w:lineRule="auto"/>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99"/>
    <w:rPr>
      <w:rFonts w:ascii="Segoe UI" w:hAnsi="Segoe UI" w:cs="Segoe UI"/>
      <w:sz w:val="18"/>
      <w:szCs w:val="18"/>
    </w:rPr>
  </w:style>
  <w:style w:type="paragraph" w:styleId="ListParagraph">
    <w:name w:val="List Paragraph"/>
    <w:basedOn w:val="Normal"/>
    <w:uiPriority w:val="34"/>
    <w:qFormat/>
    <w:rsid w:val="001F3035"/>
    <w:pPr>
      <w:ind w:left="720"/>
      <w:contextualSpacing/>
    </w:pPr>
  </w:style>
  <w:style w:type="paragraph" w:styleId="Header">
    <w:name w:val="header"/>
    <w:basedOn w:val="Normal"/>
    <w:link w:val="HeaderChar"/>
    <w:uiPriority w:val="99"/>
    <w:unhideWhenUsed/>
    <w:rsid w:val="0089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A6"/>
    <w:rPr>
      <w:rFonts w:asciiTheme="minorHAnsi" w:hAnsiTheme="minorHAnsi"/>
      <w:sz w:val="22"/>
    </w:rPr>
  </w:style>
  <w:style w:type="paragraph" w:styleId="Footer">
    <w:name w:val="footer"/>
    <w:basedOn w:val="Normal"/>
    <w:link w:val="FooterChar"/>
    <w:uiPriority w:val="99"/>
    <w:unhideWhenUsed/>
    <w:rsid w:val="0089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A6"/>
    <w:rPr>
      <w:rFonts w:asciiTheme="minorHAnsi" w:hAnsiTheme="minorHAnsi"/>
      <w:sz w:val="22"/>
    </w:rPr>
  </w:style>
  <w:style w:type="table" w:styleId="TableGrid">
    <w:name w:val="Table Grid"/>
    <w:basedOn w:val="TableNormal"/>
    <w:uiPriority w:val="39"/>
    <w:rsid w:val="0093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93632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93632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DocumentMap">
    <w:name w:val="Document Map"/>
    <w:basedOn w:val="Normal"/>
    <w:link w:val="DocumentMapChar"/>
    <w:uiPriority w:val="99"/>
    <w:semiHidden/>
    <w:unhideWhenUsed/>
    <w:rsid w:val="0034121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4121A"/>
    <w:rPr>
      <w:rFonts w:cs="Times New Roman"/>
      <w:szCs w:val="24"/>
    </w:rPr>
  </w:style>
  <w:style w:type="paragraph" w:styleId="Revision">
    <w:name w:val="Revision"/>
    <w:hidden/>
    <w:uiPriority w:val="99"/>
    <w:semiHidden/>
    <w:rsid w:val="00686C0B"/>
    <w:pPr>
      <w:spacing w:after="0" w:line="240" w:lineRule="auto"/>
    </w:pPr>
    <w:rPr>
      <w:rFonts w:asciiTheme="minorHAnsi" w:hAnsiTheme="minorHAnsi"/>
      <w:sz w:val="22"/>
    </w:rPr>
  </w:style>
  <w:style w:type="paragraph" w:styleId="NormalWeb">
    <w:name w:val="Normal (Web)"/>
    <w:basedOn w:val="Normal"/>
    <w:uiPriority w:val="99"/>
    <w:semiHidden/>
    <w:unhideWhenUsed/>
    <w:rsid w:val="00EA7CE7"/>
    <w:rPr>
      <w:rFonts w:ascii="Times New Roman" w:hAnsi="Times New Roman" w:cs="Times New Roman"/>
      <w:sz w:val="24"/>
      <w:szCs w:val="24"/>
    </w:rPr>
  </w:style>
  <w:style w:type="paragraph" w:styleId="FootnoteText">
    <w:name w:val="footnote text"/>
    <w:basedOn w:val="Normal"/>
    <w:link w:val="FootnoteTextChar"/>
    <w:uiPriority w:val="99"/>
    <w:unhideWhenUsed/>
    <w:rsid w:val="00496B2B"/>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496B2B"/>
    <w:rPr>
      <w:szCs w:val="24"/>
    </w:rPr>
  </w:style>
  <w:style w:type="character" w:styleId="FootnoteReference">
    <w:name w:val="footnote reference"/>
    <w:basedOn w:val="DefaultParagraphFont"/>
    <w:uiPriority w:val="99"/>
    <w:unhideWhenUsed/>
    <w:rsid w:val="00496B2B"/>
    <w:rPr>
      <w:vertAlign w:val="superscript"/>
    </w:rPr>
  </w:style>
  <w:style w:type="character" w:styleId="Hyperlink">
    <w:name w:val="Hyperlink"/>
    <w:basedOn w:val="DefaultParagraphFont"/>
    <w:uiPriority w:val="99"/>
    <w:unhideWhenUsed/>
    <w:rsid w:val="00E421F2"/>
    <w:rPr>
      <w:color w:val="0563C1" w:themeColor="hyperlink"/>
      <w:u w:val="single"/>
    </w:rPr>
  </w:style>
  <w:style w:type="character" w:styleId="CommentReference">
    <w:name w:val="annotation reference"/>
    <w:basedOn w:val="DefaultParagraphFont"/>
    <w:uiPriority w:val="99"/>
    <w:semiHidden/>
    <w:unhideWhenUsed/>
    <w:rsid w:val="00837C5A"/>
    <w:rPr>
      <w:sz w:val="16"/>
      <w:szCs w:val="16"/>
    </w:rPr>
  </w:style>
  <w:style w:type="paragraph" w:styleId="CommentText">
    <w:name w:val="annotation text"/>
    <w:basedOn w:val="Normal"/>
    <w:link w:val="CommentTextChar"/>
    <w:uiPriority w:val="99"/>
    <w:semiHidden/>
    <w:unhideWhenUsed/>
    <w:rsid w:val="00837C5A"/>
    <w:pPr>
      <w:spacing w:line="240" w:lineRule="auto"/>
    </w:pPr>
    <w:rPr>
      <w:sz w:val="20"/>
      <w:szCs w:val="20"/>
    </w:rPr>
  </w:style>
  <w:style w:type="character" w:customStyle="1" w:styleId="CommentTextChar">
    <w:name w:val="Comment Text Char"/>
    <w:basedOn w:val="DefaultParagraphFont"/>
    <w:link w:val="CommentText"/>
    <w:uiPriority w:val="99"/>
    <w:semiHidden/>
    <w:rsid w:val="00837C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5A"/>
    <w:rPr>
      <w:b/>
      <w:bCs/>
    </w:rPr>
  </w:style>
  <w:style w:type="character" w:customStyle="1" w:styleId="CommentSubjectChar">
    <w:name w:val="Comment Subject Char"/>
    <w:basedOn w:val="CommentTextChar"/>
    <w:link w:val="CommentSubject"/>
    <w:uiPriority w:val="99"/>
    <w:semiHidden/>
    <w:rsid w:val="00837C5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31713">
      <w:bodyDiv w:val="1"/>
      <w:marLeft w:val="0"/>
      <w:marRight w:val="0"/>
      <w:marTop w:val="0"/>
      <w:marBottom w:val="0"/>
      <w:divBdr>
        <w:top w:val="none" w:sz="0" w:space="0" w:color="auto"/>
        <w:left w:val="none" w:sz="0" w:space="0" w:color="auto"/>
        <w:bottom w:val="none" w:sz="0" w:space="0" w:color="auto"/>
        <w:right w:val="none" w:sz="0" w:space="0" w:color="auto"/>
      </w:divBdr>
      <w:divsChild>
        <w:div w:id="194084140">
          <w:marLeft w:val="0"/>
          <w:marRight w:val="0"/>
          <w:marTop w:val="0"/>
          <w:marBottom w:val="0"/>
          <w:divBdr>
            <w:top w:val="none" w:sz="0" w:space="0" w:color="auto"/>
            <w:left w:val="none" w:sz="0" w:space="0" w:color="auto"/>
            <w:bottom w:val="none" w:sz="0" w:space="0" w:color="auto"/>
            <w:right w:val="none" w:sz="0" w:space="0" w:color="auto"/>
          </w:divBdr>
          <w:divsChild>
            <w:div w:id="1236470515">
              <w:marLeft w:val="0"/>
              <w:marRight w:val="0"/>
              <w:marTop w:val="0"/>
              <w:marBottom w:val="0"/>
              <w:divBdr>
                <w:top w:val="none" w:sz="0" w:space="0" w:color="auto"/>
                <w:left w:val="none" w:sz="0" w:space="0" w:color="auto"/>
                <w:bottom w:val="none" w:sz="0" w:space="0" w:color="auto"/>
                <w:right w:val="none" w:sz="0" w:space="0" w:color="auto"/>
              </w:divBdr>
              <w:divsChild>
                <w:div w:id="1416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6997">
      <w:bodyDiv w:val="1"/>
      <w:marLeft w:val="0"/>
      <w:marRight w:val="0"/>
      <w:marTop w:val="0"/>
      <w:marBottom w:val="0"/>
      <w:divBdr>
        <w:top w:val="none" w:sz="0" w:space="0" w:color="auto"/>
        <w:left w:val="none" w:sz="0" w:space="0" w:color="auto"/>
        <w:bottom w:val="none" w:sz="0" w:space="0" w:color="auto"/>
        <w:right w:val="none" w:sz="0" w:space="0" w:color="auto"/>
      </w:divBdr>
      <w:divsChild>
        <w:div w:id="1720980473">
          <w:marLeft w:val="0"/>
          <w:marRight w:val="0"/>
          <w:marTop w:val="0"/>
          <w:marBottom w:val="0"/>
          <w:divBdr>
            <w:top w:val="none" w:sz="0" w:space="0" w:color="auto"/>
            <w:left w:val="none" w:sz="0" w:space="0" w:color="auto"/>
            <w:bottom w:val="none" w:sz="0" w:space="0" w:color="auto"/>
            <w:right w:val="none" w:sz="0" w:space="0" w:color="auto"/>
          </w:divBdr>
          <w:divsChild>
            <w:div w:id="510685338">
              <w:marLeft w:val="0"/>
              <w:marRight w:val="0"/>
              <w:marTop w:val="0"/>
              <w:marBottom w:val="0"/>
              <w:divBdr>
                <w:top w:val="none" w:sz="0" w:space="0" w:color="auto"/>
                <w:left w:val="none" w:sz="0" w:space="0" w:color="auto"/>
                <w:bottom w:val="none" w:sz="0" w:space="0" w:color="auto"/>
                <w:right w:val="none" w:sz="0" w:space="0" w:color="auto"/>
              </w:divBdr>
              <w:divsChild>
                <w:div w:id="13452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A513-7D03-2E40-9948-176D86BE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5885</Words>
  <Characters>33547</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HKS</Company>
  <LinksUpToDate>false</LinksUpToDate>
  <CharactersWithSpaces>39354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Nolin</dc:creator>
  <cp:keywords/>
  <dc:description/>
  <cp:lastModifiedBy>Microsoft Office User</cp:lastModifiedBy>
  <cp:revision>2</cp:revision>
  <cp:lastPrinted>2016-12-19T15:52:00Z</cp:lastPrinted>
  <dcterms:created xsi:type="dcterms:W3CDTF">2016-12-30T21:30:00Z</dcterms:created>
  <dcterms:modified xsi:type="dcterms:W3CDTF">2016-12-30T21:30:00Z</dcterms:modified>
</cp:coreProperties>
</file>